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0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8665"/>
      </w:tblGrid>
      <w:tr w:rsidR="002C0CD0" w:rsidTr="00281E73">
        <w:trPr>
          <w:trHeight w:val="461"/>
        </w:trPr>
        <w:tc>
          <w:tcPr>
            <w:tcW w:w="2244" w:type="dxa"/>
            <w:vMerge w:val="restart"/>
          </w:tcPr>
          <w:p w:rsidR="002C0CD0" w:rsidRDefault="002C0CD0">
            <w:pPr>
              <w:ind w:left="590"/>
            </w:pPr>
            <w:r>
              <w:rPr>
                <w:noProof/>
                <w:lang w:eastAsia="ru-RU"/>
              </w:rPr>
              <w:drawing>
                <wp:inline distT="0" distB="0" distL="0" distR="0" wp14:anchorId="7569424F" wp14:editId="6221B613">
                  <wp:extent cx="894991" cy="715992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57" cy="7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5" w:type="dxa"/>
          </w:tcPr>
          <w:p w:rsidR="002C0CD0" w:rsidRPr="001F00F8" w:rsidRDefault="00281E73">
            <w:pPr>
              <w:rPr>
                <w:color w:val="00B559"/>
                <w:sz w:val="36"/>
                <w:szCs w:val="36"/>
              </w:rPr>
            </w:pPr>
            <w:r>
              <w:rPr>
                <w:color w:val="00B559"/>
                <w:sz w:val="36"/>
                <w:szCs w:val="36"/>
              </w:rPr>
              <w:t xml:space="preserve">  ООО </w:t>
            </w:r>
            <w:r w:rsidR="009230A3">
              <w:rPr>
                <w:color w:val="00B559"/>
                <w:sz w:val="36"/>
                <w:szCs w:val="36"/>
              </w:rPr>
              <w:t>НПО «</w:t>
            </w:r>
            <w:r>
              <w:rPr>
                <w:color w:val="00B559"/>
                <w:sz w:val="36"/>
                <w:szCs w:val="36"/>
              </w:rPr>
              <w:t>Альфа-групп</w:t>
            </w:r>
            <w:r w:rsidR="009230A3">
              <w:rPr>
                <w:color w:val="00B559"/>
                <w:sz w:val="36"/>
                <w:szCs w:val="36"/>
              </w:rPr>
              <w:t>»</w:t>
            </w:r>
          </w:p>
        </w:tc>
      </w:tr>
      <w:tr w:rsidR="002C0CD0" w:rsidTr="00281E73">
        <w:trPr>
          <w:trHeight w:val="169"/>
        </w:trPr>
        <w:tc>
          <w:tcPr>
            <w:tcW w:w="2244" w:type="dxa"/>
            <w:vMerge/>
          </w:tcPr>
          <w:p w:rsidR="002C0CD0" w:rsidRDefault="002C0CD0"/>
        </w:tc>
        <w:tc>
          <w:tcPr>
            <w:tcW w:w="8665" w:type="dxa"/>
            <w:vAlign w:val="bottom"/>
          </w:tcPr>
          <w:p w:rsidR="002C0CD0" w:rsidRDefault="002C0CD0" w:rsidP="00281E73">
            <w:pPr>
              <w:rPr>
                <w:color w:val="767171" w:themeColor="background2" w:themeShade="80"/>
                <w:sz w:val="26"/>
                <w:szCs w:val="26"/>
              </w:rPr>
            </w:pPr>
            <w:r w:rsidRPr="00A858B8">
              <w:rPr>
                <w:color w:val="767171" w:themeColor="background2" w:themeShade="80"/>
                <w:sz w:val="26"/>
                <w:szCs w:val="26"/>
              </w:rPr>
              <w:t>Россия</w:t>
            </w:r>
            <w:r w:rsidR="00A858B8" w:rsidRPr="00A858B8">
              <w:rPr>
                <w:color w:val="767171" w:themeColor="background2" w:themeShade="80"/>
                <w:sz w:val="26"/>
                <w:szCs w:val="26"/>
              </w:rPr>
              <w:t>, г.</w:t>
            </w:r>
            <w:r w:rsidR="00281E73">
              <w:rPr>
                <w:color w:val="767171" w:themeColor="background2" w:themeShade="80"/>
                <w:sz w:val="26"/>
                <w:szCs w:val="26"/>
              </w:rPr>
              <w:t xml:space="preserve"> О</w:t>
            </w:r>
            <w:r w:rsidRPr="00A858B8">
              <w:rPr>
                <w:color w:val="767171" w:themeColor="background2" w:themeShade="80"/>
                <w:sz w:val="26"/>
                <w:szCs w:val="26"/>
              </w:rPr>
              <w:t xml:space="preserve">мск, Ул. </w:t>
            </w:r>
            <w:r w:rsidR="00F9763B">
              <w:rPr>
                <w:color w:val="767171" w:themeColor="background2" w:themeShade="80"/>
                <w:sz w:val="26"/>
                <w:szCs w:val="26"/>
              </w:rPr>
              <w:t xml:space="preserve">3 </w:t>
            </w:r>
            <w:proofErr w:type="spellStart"/>
            <w:r w:rsidR="00F9763B">
              <w:rPr>
                <w:color w:val="767171" w:themeColor="background2" w:themeShade="80"/>
                <w:sz w:val="26"/>
                <w:szCs w:val="26"/>
              </w:rPr>
              <w:t>л</w:t>
            </w:r>
            <w:r w:rsidR="00281E73">
              <w:rPr>
                <w:color w:val="767171" w:themeColor="background2" w:themeShade="80"/>
                <w:sz w:val="26"/>
                <w:szCs w:val="26"/>
              </w:rPr>
              <w:t>юбинская</w:t>
            </w:r>
            <w:proofErr w:type="spellEnd"/>
            <w:r w:rsidR="00281E73">
              <w:rPr>
                <w:color w:val="767171" w:themeColor="background2" w:themeShade="80"/>
                <w:sz w:val="26"/>
                <w:szCs w:val="26"/>
              </w:rPr>
              <w:t xml:space="preserve"> 15</w:t>
            </w:r>
          </w:p>
          <w:p w:rsidR="00982B1D" w:rsidRPr="00A858B8" w:rsidRDefault="00982B1D" w:rsidP="00281E73">
            <w:pPr>
              <w:rPr>
                <w:sz w:val="26"/>
                <w:szCs w:val="26"/>
              </w:rPr>
            </w:pPr>
          </w:p>
        </w:tc>
      </w:tr>
    </w:tbl>
    <w:p w:rsidR="00B218F2" w:rsidRDefault="00982B1D" w:rsidP="008515FB">
      <w:pPr>
        <w:ind w:left="-415" w:right="110" w:firstLine="13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320870" cy="4667250"/>
            <wp:effectExtent l="0" t="0" r="4445" b="0"/>
            <wp:docPr id="2" name="Рисунок 2" descr="C:\Users\User\Pictures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805" cy="46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1D" w:rsidRDefault="00982B1D" w:rsidP="008515FB">
      <w:pPr>
        <w:ind w:left="-415" w:right="110" w:firstLine="131"/>
        <w:jc w:val="center"/>
        <w:rPr>
          <w:sz w:val="24"/>
          <w:szCs w:val="24"/>
        </w:rPr>
      </w:pPr>
    </w:p>
    <w:p w:rsidR="00982B1D" w:rsidRDefault="00982B1D" w:rsidP="008515FB">
      <w:pPr>
        <w:ind w:left="-415" w:right="110" w:firstLine="131"/>
        <w:jc w:val="center"/>
        <w:rPr>
          <w:sz w:val="24"/>
          <w:szCs w:val="24"/>
        </w:rPr>
      </w:pPr>
    </w:p>
    <w:p w:rsidR="00982B1D" w:rsidRDefault="00982B1D" w:rsidP="008515FB">
      <w:pPr>
        <w:ind w:left="-415" w:right="110" w:firstLine="131"/>
        <w:jc w:val="center"/>
        <w:rPr>
          <w:sz w:val="24"/>
          <w:szCs w:val="24"/>
        </w:rPr>
      </w:pPr>
    </w:p>
    <w:p w:rsidR="00982B1D" w:rsidRDefault="00982B1D" w:rsidP="008515FB">
      <w:pPr>
        <w:ind w:left="-415" w:right="110" w:firstLine="131"/>
        <w:jc w:val="center"/>
        <w:rPr>
          <w:sz w:val="24"/>
          <w:szCs w:val="24"/>
        </w:rPr>
      </w:pPr>
    </w:p>
    <w:p w:rsidR="00982B1D" w:rsidRDefault="00982B1D" w:rsidP="008515FB">
      <w:pPr>
        <w:ind w:left="-415" w:right="110" w:firstLine="131"/>
        <w:jc w:val="center"/>
        <w:rPr>
          <w:sz w:val="24"/>
          <w:szCs w:val="24"/>
        </w:rPr>
      </w:pPr>
    </w:p>
    <w:p w:rsidR="00982B1D" w:rsidRDefault="00982B1D" w:rsidP="008515FB">
      <w:pPr>
        <w:ind w:left="-415" w:right="110" w:firstLine="131"/>
        <w:jc w:val="center"/>
        <w:rPr>
          <w:sz w:val="24"/>
          <w:szCs w:val="24"/>
        </w:rPr>
      </w:pPr>
    </w:p>
    <w:tbl>
      <w:tblPr>
        <w:tblW w:w="15602" w:type="dxa"/>
        <w:tblLayout w:type="fixed"/>
        <w:tblLook w:val="04A0" w:firstRow="1" w:lastRow="0" w:firstColumn="1" w:lastColumn="0" w:noHBand="0" w:noVBand="1"/>
      </w:tblPr>
      <w:tblGrid>
        <w:gridCol w:w="2258"/>
        <w:gridCol w:w="1696"/>
        <w:gridCol w:w="14"/>
        <w:gridCol w:w="1128"/>
        <w:gridCol w:w="14"/>
        <w:gridCol w:w="1686"/>
        <w:gridCol w:w="14"/>
        <w:gridCol w:w="1544"/>
        <w:gridCol w:w="941"/>
        <w:gridCol w:w="29"/>
        <w:gridCol w:w="931"/>
        <w:gridCol w:w="29"/>
        <w:gridCol w:w="1046"/>
        <w:gridCol w:w="845"/>
        <w:gridCol w:w="14"/>
        <w:gridCol w:w="7"/>
        <w:gridCol w:w="8"/>
        <w:gridCol w:w="931"/>
        <w:gridCol w:w="14"/>
        <w:gridCol w:w="7"/>
        <w:gridCol w:w="8"/>
        <w:gridCol w:w="2424"/>
        <w:gridCol w:w="14"/>
      </w:tblGrid>
      <w:tr w:rsidR="00C2357C" w:rsidRPr="00C2357C" w:rsidTr="00C2357C">
        <w:trPr>
          <w:gridAfter w:val="1"/>
          <w:wAfter w:w="14" w:type="dxa"/>
          <w:trHeight w:val="6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семян, тонн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Объем, л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Минеральные удобрения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Семена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Состав подбирается в зависимости от фоно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</w:t>
            </w:r>
            <w:r w:rsidRPr="00C235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 содержания NPK в почве, культуры и запланированного урожая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1146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1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Вегетация площадь, 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357C" w:rsidRPr="00C2357C" w:rsidRDefault="00EF632E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C2357C"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Объем,л</w:t>
            </w:r>
            <w:proofErr w:type="spellEnd"/>
            <w:proofErr w:type="gram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 всходам 1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281E73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«Иван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3B1625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C2357C"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Карбамид 7%</w:t>
            </w:r>
          </w:p>
        </w:tc>
        <w:tc>
          <w:tcPr>
            <w:tcW w:w="8792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Обработка влияет на размер растения (габитус). Обеспечение растения NPK, жизненно важными элементами питания S, B, </w:t>
            </w:r>
            <w:proofErr w:type="spellStart"/>
            <w:proofErr w:type="gramStart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Zn,Mn</w:t>
            </w:r>
            <w:proofErr w:type="gramEnd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,Cu,Mo</w:t>
            </w:r>
            <w:proofErr w:type="spellEnd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снятие гербицидного стресса.</w:t>
            </w: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в фазу ёлочки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2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(гербицидная обработка против широколиственных)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2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 всходам 2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281E73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«Иван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3B1625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C2357C"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Карбамид 7%</w:t>
            </w:r>
          </w:p>
        </w:tc>
        <w:tc>
          <w:tcPr>
            <w:tcW w:w="8792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Обработка повышает ветвистость стебля, число цветков. Обеспечение растения NPK, жизненно важными элементами питания S, B, </w:t>
            </w:r>
            <w:proofErr w:type="spellStart"/>
            <w:proofErr w:type="gramStart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Zn,Mn</w:t>
            </w:r>
            <w:proofErr w:type="gramEnd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,Cu,Mo</w:t>
            </w:r>
            <w:proofErr w:type="spellEnd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снятие гербицидного стресса. При недостатке питания уменьшается ветвление, задерживается образование бутонов, сокращается фаза цветения, формируется небольшое количество коробо</w:t>
            </w:r>
            <w:bookmarkStart w:id="0" w:name="_GoBack"/>
            <w:bookmarkEnd w:id="0"/>
            <w:r w:rsidRPr="00C235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чек с мелкими семенами пониженной масличности.</w:t>
            </w: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в фазу ёлочки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2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6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lang w:eastAsia="ru-RU"/>
              </w:rPr>
              <w:t>(гербицидная обработка против злаковых)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92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trHeight w:val="315"/>
        </w:trPr>
        <w:tc>
          <w:tcPr>
            <w:tcW w:w="8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эффективность применения листовых подкормок. *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3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trHeight w:val="330"/>
        </w:trPr>
        <w:tc>
          <w:tcPr>
            <w:tcW w:w="83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57C" w:rsidRPr="00C2357C" w:rsidRDefault="0051762C" w:rsidP="00517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Прибавка от 3 ц/га (цена на 2020</w:t>
            </w:r>
            <w:r w:rsidR="00281E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 21</w:t>
            </w:r>
            <w:r w:rsidR="00C2357C"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="00C2357C"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C2357C"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/т)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7C" w:rsidRPr="00C2357C" w:rsidRDefault="006B3B98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6 300</w:t>
            </w:r>
            <w:r w:rsidR="00C2357C" w:rsidRPr="00C235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trHeight w:val="330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57C" w:rsidRPr="00C2357C" w:rsidRDefault="003B1625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Вложения (2</w:t>
            </w:r>
            <w:r w:rsidR="0051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400л</w:t>
            </w:r>
            <w:proofErr w:type="gramStart"/>
            <w:r w:rsidR="004A7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  <w:r w:rsidR="005176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160руб.л</w:t>
            </w:r>
            <w:proofErr w:type="gramEnd"/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57C" w:rsidRPr="00C2357C" w:rsidRDefault="00EF632E" w:rsidP="00C23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2357C" w:rsidRPr="00C235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57C" w:rsidRPr="00C2357C" w:rsidRDefault="004A76D5" w:rsidP="00C235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="00C2357C"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7C" w:rsidRPr="00C2357C" w:rsidRDefault="003B1625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  <w:r w:rsidR="00F976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trHeight w:val="390"/>
        </w:trPr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Ориентировочная прибыль с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357C" w:rsidRPr="00C2357C" w:rsidRDefault="00EF632E" w:rsidP="00C235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2357C" w:rsidRPr="00C235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 норма высева 55кг/га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7C" w:rsidRPr="00C2357C" w:rsidRDefault="006B3B98" w:rsidP="003B1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16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5 916</w:t>
            </w:r>
            <w:r w:rsidR="00F976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C2357C" w:rsidRPr="00C235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gridAfter w:val="1"/>
          <w:wAfter w:w="14" w:type="dxa"/>
          <w:trHeight w:val="3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C" w:rsidRPr="00C2357C" w:rsidTr="00C2357C">
        <w:trPr>
          <w:trHeight w:val="315"/>
        </w:trPr>
        <w:tc>
          <w:tcPr>
            <w:tcW w:w="131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35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* - Эффективность применения напрямую зависит от качества сева и технологии применения средств защиты растений.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C" w:rsidRPr="00C2357C" w:rsidRDefault="00C2357C" w:rsidP="00C23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500B3" w:rsidRDefault="004500B3" w:rsidP="00B218F2">
      <w:pPr>
        <w:ind w:left="567" w:right="677" w:hanging="153"/>
        <w:rPr>
          <w:b/>
          <w:sz w:val="24"/>
          <w:szCs w:val="24"/>
        </w:rPr>
      </w:pPr>
    </w:p>
    <w:p w:rsidR="00C2357C" w:rsidRDefault="00C2357C" w:rsidP="00834FAB">
      <w:pPr>
        <w:jc w:val="center"/>
        <w:rPr>
          <w:sz w:val="24"/>
          <w:szCs w:val="24"/>
        </w:rPr>
      </w:pPr>
    </w:p>
    <w:p w:rsidR="00C2357C" w:rsidRDefault="00C2357C" w:rsidP="00834FAB">
      <w:pPr>
        <w:jc w:val="center"/>
        <w:rPr>
          <w:sz w:val="24"/>
          <w:szCs w:val="24"/>
        </w:rPr>
      </w:pPr>
    </w:p>
    <w:p w:rsidR="00834FAB" w:rsidRDefault="00834FAB" w:rsidP="00834FAB">
      <w:pPr>
        <w:jc w:val="center"/>
        <w:rPr>
          <w:sz w:val="24"/>
          <w:szCs w:val="24"/>
        </w:rPr>
      </w:pPr>
      <w:proofErr w:type="gramStart"/>
      <w:r w:rsidRPr="008C3A23">
        <w:rPr>
          <w:sz w:val="24"/>
          <w:szCs w:val="24"/>
        </w:rPr>
        <w:t>О</w:t>
      </w:r>
      <w:r>
        <w:rPr>
          <w:sz w:val="24"/>
          <w:szCs w:val="24"/>
        </w:rPr>
        <w:t xml:space="preserve">писание </w:t>
      </w:r>
      <w:r w:rsidR="00F9763B">
        <w:rPr>
          <w:sz w:val="24"/>
          <w:szCs w:val="24"/>
        </w:rPr>
        <w:t>.</w:t>
      </w:r>
      <w:proofErr w:type="gramEnd"/>
    </w:p>
    <w:p w:rsidR="00834FAB" w:rsidRPr="00834FAB" w:rsidRDefault="00834FAB" w:rsidP="00834FAB">
      <w:pPr>
        <w:pStyle w:val="a6"/>
        <w:ind w:right="535"/>
        <w:jc w:val="both"/>
        <w:rPr>
          <w:color w:val="000000"/>
        </w:rPr>
      </w:pPr>
      <w:r w:rsidRPr="00834FAB">
        <w:rPr>
          <w:color w:val="000000"/>
        </w:rPr>
        <w:t>Специальное жидкое удобрение для возделывания масличных культур с широким спектром ми</w:t>
      </w:r>
      <w:r w:rsidR="0095244A">
        <w:rPr>
          <w:color w:val="000000"/>
        </w:rPr>
        <w:t>кро-</w:t>
      </w:r>
      <w:proofErr w:type="gramStart"/>
      <w:r w:rsidR="0095244A">
        <w:rPr>
          <w:color w:val="000000"/>
        </w:rPr>
        <w:t>макроэлементов ,</w:t>
      </w:r>
      <w:proofErr w:type="gramEnd"/>
      <w:r w:rsidR="0095244A">
        <w:rPr>
          <w:color w:val="000000"/>
        </w:rPr>
        <w:t xml:space="preserve"> аминовых, фолиевых и гуминовых кислот</w:t>
      </w:r>
      <w:r w:rsidRPr="00834FAB">
        <w:rPr>
          <w:color w:val="000000"/>
        </w:rPr>
        <w:t>. Предназначен для стимуляции и роста культур в основные фазы развития, повышения защиты растения от болезней. Снимает дефицит питательных веществ, а также стресс при применении пестицидов.</w:t>
      </w:r>
    </w:p>
    <w:p w:rsidR="00834FAB" w:rsidRPr="00834FAB" w:rsidRDefault="00834FAB" w:rsidP="00834FAB">
      <w:pPr>
        <w:pStyle w:val="a6"/>
        <w:ind w:right="535"/>
        <w:jc w:val="both"/>
      </w:pPr>
      <w:r w:rsidRPr="00834FAB">
        <w:rPr>
          <w:color w:val="000000"/>
        </w:rPr>
        <w:t>Препарат повышает содержание жиров в семенах, повышает вес каждого семени, улучшает вкусовые и ароматические показатели.</w:t>
      </w:r>
    </w:p>
    <w:p w:rsidR="00834FAB" w:rsidRPr="00834FAB" w:rsidRDefault="00834FAB" w:rsidP="00834FAB">
      <w:pPr>
        <w:ind w:left="709" w:right="535"/>
        <w:jc w:val="both"/>
        <w:rPr>
          <w:b/>
        </w:rPr>
      </w:pPr>
      <w:r w:rsidRPr="00834FAB">
        <w:rPr>
          <w:b/>
        </w:rPr>
        <w:t>Способ применения:</w:t>
      </w:r>
    </w:p>
    <w:p w:rsidR="00834FAB" w:rsidRPr="00834FAB" w:rsidRDefault="00834FAB" w:rsidP="00834FAB">
      <w:pPr>
        <w:pStyle w:val="a6"/>
        <w:numPr>
          <w:ilvl w:val="0"/>
          <w:numId w:val="3"/>
        </w:numPr>
        <w:ind w:left="709" w:right="535"/>
        <w:jc w:val="both"/>
      </w:pPr>
      <w:r w:rsidRPr="00834FAB">
        <w:t xml:space="preserve">Обработка семян перед посевом </w:t>
      </w:r>
      <w:r w:rsidR="0095244A">
        <w:t>(установка типа ПС-10): расход 0,3-0,5</w:t>
      </w:r>
      <w:r w:rsidRPr="00834FAB">
        <w:t>л препарата на тонну семян. Для приготовления рабочего раствор</w:t>
      </w:r>
      <w:r w:rsidR="0095244A">
        <w:t>а препарат разводится в воде</w:t>
      </w:r>
      <w:r w:rsidRPr="00834FAB">
        <w:t>.</w:t>
      </w:r>
    </w:p>
    <w:p w:rsidR="00834FAB" w:rsidRPr="00834FAB" w:rsidRDefault="00834FAB" w:rsidP="00834FAB">
      <w:pPr>
        <w:pStyle w:val="a6"/>
        <w:numPr>
          <w:ilvl w:val="0"/>
          <w:numId w:val="3"/>
        </w:numPr>
        <w:ind w:left="709" w:right="535"/>
        <w:jc w:val="both"/>
      </w:pPr>
      <w:r w:rsidRPr="00834FAB">
        <w:t>Некорневая подкормка в пери</w:t>
      </w:r>
      <w:r w:rsidR="00F9763B">
        <w:t>од вегетации 2-4 раза.  Расход 0.5</w:t>
      </w:r>
      <w:r w:rsidRPr="00834FAB">
        <w:t xml:space="preserve"> </w:t>
      </w:r>
      <w:r w:rsidR="00F9763B">
        <w:t>– 1</w:t>
      </w:r>
      <w:r w:rsidR="006B1A85">
        <w:t xml:space="preserve">,5 </w:t>
      </w:r>
      <w:r w:rsidRPr="00834FAB">
        <w:t xml:space="preserve">л/га. Совмещается в баковой смеси с агрохимией. Гербициды и фунгициды добавляются по паспорту. </w:t>
      </w:r>
    </w:p>
    <w:p w:rsidR="00834FAB" w:rsidRPr="00834FAB" w:rsidRDefault="00834FAB" w:rsidP="00834FAB">
      <w:pPr>
        <w:ind w:left="709" w:right="535"/>
        <w:jc w:val="both"/>
      </w:pPr>
      <w:r w:rsidRPr="00834FAB">
        <w:t xml:space="preserve">Меры безопасности: при попадании препарата в глаза -  промыть водой. (Малоопасное вещ-во). Класс опасности </w:t>
      </w:r>
      <w:r w:rsidRPr="00834FAB">
        <w:rPr>
          <w:lang w:val="en-US"/>
        </w:rPr>
        <w:t>IV</w:t>
      </w:r>
      <w:r w:rsidRPr="00834FAB">
        <w:t>.</w:t>
      </w:r>
    </w:p>
    <w:p w:rsidR="00834FAB" w:rsidRPr="00834FAB" w:rsidRDefault="00834FAB" w:rsidP="00834FAB">
      <w:pPr>
        <w:ind w:left="709" w:right="535"/>
        <w:jc w:val="both"/>
      </w:pPr>
      <w:r w:rsidRPr="00834FAB">
        <w:t xml:space="preserve">Срок годности не ограничен. Гарантийный срок – 2 года. </w:t>
      </w:r>
    </w:p>
    <w:p w:rsidR="00834FAB" w:rsidRPr="00834FAB" w:rsidRDefault="00834FAB" w:rsidP="00834FAB">
      <w:pPr>
        <w:ind w:left="709" w:right="535"/>
        <w:jc w:val="both"/>
      </w:pPr>
      <w:r w:rsidRPr="00834FAB">
        <w:t xml:space="preserve">ДОПУСКАЕТСЯ НЕРАСТВОРИМЫЙ ОСАДОК. ПЕРЕД ПРИМЕНЕНИЕМ НЕ ВЗБАЛТЫВАТЬ! </w:t>
      </w:r>
    </w:p>
    <w:p w:rsidR="00834FAB" w:rsidRPr="00834FAB" w:rsidRDefault="00C2357C" w:rsidP="00834FAB">
      <w:pPr>
        <w:ind w:left="709" w:right="535"/>
        <w:jc w:val="both"/>
      </w:pPr>
      <w:r>
        <w:t>Хранить при температуре от</w:t>
      </w:r>
      <w:r w:rsidR="00834FAB" w:rsidRPr="00834FAB">
        <w:t xml:space="preserve"> 0 до +25 </w:t>
      </w:r>
      <w:r w:rsidR="00834FAB" w:rsidRPr="00834FAB">
        <w:rPr>
          <w:lang w:val="en-US"/>
        </w:rPr>
        <w:t>C</w:t>
      </w:r>
    </w:p>
    <w:p w:rsidR="00834FAB" w:rsidRPr="00834FAB" w:rsidRDefault="00834FAB" w:rsidP="00F9763B">
      <w:pPr>
        <w:ind w:left="709" w:right="535"/>
        <w:jc w:val="both"/>
      </w:pPr>
      <w:r w:rsidRPr="00834FAB">
        <w:t>Регистратор:</w:t>
      </w:r>
      <w:r w:rsidR="0095244A">
        <w:t xml:space="preserve"> ООО НПО </w:t>
      </w:r>
      <w:proofErr w:type="gramStart"/>
      <w:r w:rsidR="0095244A">
        <w:t>«</w:t>
      </w:r>
      <w:r w:rsidR="00F9763B">
        <w:t xml:space="preserve"> АЛЬФА</w:t>
      </w:r>
      <w:proofErr w:type="gramEnd"/>
      <w:r w:rsidR="00F9763B">
        <w:t xml:space="preserve"> ГРУПП</w:t>
      </w:r>
      <w:r>
        <w:t>»</w:t>
      </w:r>
    </w:p>
    <w:p w:rsidR="00834FAB" w:rsidRPr="00834FAB" w:rsidRDefault="00834FAB" w:rsidP="00834FAB">
      <w:pPr>
        <w:ind w:left="567" w:right="677" w:hanging="153"/>
        <w:jc w:val="center"/>
        <w:rPr>
          <w:b/>
        </w:rPr>
      </w:pPr>
    </w:p>
    <w:p w:rsidR="00925ACE" w:rsidRPr="0016691A" w:rsidRDefault="0095244A" w:rsidP="00925ACE">
      <w:pPr>
        <w:ind w:left="567" w:right="677" w:hanging="153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представитель</w:t>
      </w:r>
      <w:r w:rsidR="00925ACE" w:rsidRPr="0016691A">
        <w:rPr>
          <w:b/>
          <w:sz w:val="24"/>
          <w:szCs w:val="24"/>
        </w:rPr>
        <w:t xml:space="preserve"> по Омской области</w:t>
      </w:r>
    </w:p>
    <w:p w:rsidR="00925ACE" w:rsidRPr="0016691A" w:rsidRDefault="00925ACE" w:rsidP="00925ACE">
      <w:pPr>
        <w:ind w:left="567" w:right="677" w:hanging="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Рустам </w:t>
      </w:r>
      <w:proofErr w:type="spellStart"/>
      <w:r>
        <w:rPr>
          <w:b/>
          <w:sz w:val="24"/>
          <w:szCs w:val="24"/>
        </w:rPr>
        <w:t>Рафикович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Шайдуллин</w:t>
      </w:r>
      <w:proofErr w:type="spellEnd"/>
    </w:p>
    <w:p w:rsidR="00925ACE" w:rsidRPr="0016691A" w:rsidRDefault="00925ACE" w:rsidP="00925ACE">
      <w:pPr>
        <w:ind w:left="567" w:right="677" w:hanging="153"/>
        <w:rPr>
          <w:b/>
        </w:rPr>
      </w:pPr>
      <w:r>
        <w:rPr>
          <w:b/>
        </w:rPr>
        <w:t>Тел. 8-913-658-18-74</w:t>
      </w:r>
    </w:p>
    <w:p w:rsidR="00925ACE" w:rsidRPr="0016691A" w:rsidRDefault="00925ACE" w:rsidP="00925ACE">
      <w:pPr>
        <w:ind w:left="426"/>
        <w:rPr>
          <w:b/>
          <w:sz w:val="24"/>
          <w:szCs w:val="24"/>
        </w:rPr>
      </w:pPr>
      <w:r>
        <w:rPr>
          <w:b/>
        </w:rPr>
        <w:t>Тел. 8-983-622-96-35</w:t>
      </w:r>
    </w:p>
    <w:p w:rsidR="00983F08" w:rsidRPr="0016691A" w:rsidRDefault="00983F08" w:rsidP="00925ACE">
      <w:pPr>
        <w:ind w:left="567" w:right="677" w:hanging="153"/>
        <w:rPr>
          <w:b/>
          <w:sz w:val="24"/>
          <w:szCs w:val="24"/>
        </w:rPr>
      </w:pPr>
    </w:p>
    <w:sectPr w:rsidR="00983F08" w:rsidRPr="0016691A" w:rsidSect="002440DB">
      <w:pgSz w:w="16838" w:h="11906" w:orient="landscape"/>
      <w:pgMar w:top="709" w:right="0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2BF"/>
    <w:multiLevelType w:val="hybridMultilevel"/>
    <w:tmpl w:val="29D2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070B"/>
    <w:multiLevelType w:val="hybridMultilevel"/>
    <w:tmpl w:val="CB3A15DC"/>
    <w:lvl w:ilvl="0" w:tplc="EE80264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8"/>
    <w:rsid w:val="00080852"/>
    <w:rsid w:val="0016691A"/>
    <w:rsid w:val="001B0730"/>
    <w:rsid w:val="001F00F8"/>
    <w:rsid w:val="002440DB"/>
    <w:rsid w:val="00281E73"/>
    <w:rsid w:val="002C0CD0"/>
    <w:rsid w:val="002C7D18"/>
    <w:rsid w:val="002D0831"/>
    <w:rsid w:val="003B14A2"/>
    <w:rsid w:val="003B1625"/>
    <w:rsid w:val="004500B3"/>
    <w:rsid w:val="004A76D5"/>
    <w:rsid w:val="0051762C"/>
    <w:rsid w:val="00575AE8"/>
    <w:rsid w:val="006B1A85"/>
    <w:rsid w:val="006B3B98"/>
    <w:rsid w:val="00772885"/>
    <w:rsid w:val="007C4FB2"/>
    <w:rsid w:val="0081537C"/>
    <w:rsid w:val="00834FAB"/>
    <w:rsid w:val="008515FB"/>
    <w:rsid w:val="009230A3"/>
    <w:rsid w:val="00925ACE"/>
    <w:rsid w:val="0095244A"/>
    <w:rsid w:val="00982B1D"/>
    <w:rsid w:val="00983F08"/>
    <w:rsid w:val="00A41E60"/>
    <w:rsid w:val="00A61BC1"/>
    <w:rsid w:val="00A858B8"/>
    <w:rsid w:val="00B218F2"/>
    <w:rsid w:val="00C2357C"/>
    <w:rsid w:val="00C60742"/>
    <w:rsid w:val="00D30EE8"/>
    <w:rsid w:val="00D36A15"/>
    <w:rsid w:val="00D52121"/>
    <w:rsid w:val="00D72A13"/>
    <w:rsid w:val="00E2715B"/>
    <w:rsid w:val="00E608E6"/>
    <w:rsid w:val="00E7304B"/>
    <w:rsid w:val="00ED1650"/>
    <w:rsid w:val="00EF632E"/>
    <w:rsid w:val="00F45406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E8D7-3B41-4EFF-8F46-2CA824F3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ompany-text">
    <w:name w:val="footer__company-text"/>
    <w:basedOn w:val="a0"/>
    <w:rsid w:val="002C0CD0"/>
  </w:style>
  <w:style w:type="paragraph" w:styleId="a4">
    <w:name w:val="Balloon Text"/>
    <w:basedOn w:val="a"/>
    <w:link w:val="a5"/>
    <w:uiPriority w:val="99"/>
    <w:semiHidden/>
    <w:unhideWhenUsed/>
    <w:rsid w:val="00D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18F2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81E7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338C-772C-4778-8925-14A7E6D6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 Елена</dc:creator>
  <cp:keywords/>
  <dc:description/>
  <cp:lastModifiedBy>User</cp:lastModifiedBy>
  <cp:revision>31</cp:revision>
  <cp:lastPrinted>2018-11-20T16:46:00Z</cp:lastPrinted>
  <dcterms:created xsi:type="dcterms:W3CDTF">2018-11-05T06:59:00Z</dcterms:created>
  <dcterms:modified xsi:type="dcterms:W3CDTF">2021-01-12T11:24:00Z</dcterms:modified>
</cp:coreProperties>
</file>