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2000000">
      <w:pPr>
        <w:spacing w:after="0" w:before="0"/>
        <w:ind w:hanging="568" w:left="568" w:right="0"/>
        <w:jc w:val="both"/>
        <w:rPr>
          <w:rFonts w:ascii="Times New Roman" w:hAnsi="Times New Roman"/>
          <w:b w:val="1"/>
          <w:color w:val="000000"/>
          <w:spacing w:val="0"/>
          <w:sz w:val="24"/>
        </w:rPr>
      </w:pPr>
      <w:r>
        <w:rPr>
          <w:rFonts w:ascii="Times New Roman" w:hAnsi="Times New Roman"/>
          <w:b w:val="1"/>
          <w:color w:val="000000"/>
          <w:spacing w:val="0"/>
          <w:sz w:val="24"/>
        </w:rPr>
        <w:t>СТОЙЛОВОЕ ВЫРАЩИВАНИЕ ЯГНЯТ</w:t>
      </w:r>
    </w:p>
    <w:p w14:paraId="03000000">
      <w:pPr>
        <w:spacing w:after="0" w:before="0"/>
        <w:ind w:hanging="568" w:left="568" w:right="0"/>
        <w:jc w:val="both"/>
        <w:rPr>
          <w:rFonts w:ascii="Times New Roman" w:hAnsi="Times New Roman"/>
          <w:b w:val="1"/>
          <w:color w:val="000000"/>
          <w:spacing w:val="0"/>
          <w:sz w:val="24"/>
        </w:rPr>
      </w:pPr>
    </w:p>
    <w:p w14:paraId="04000000">
      <w:pPr>
        <w:spacing w:after="0" w:before="0"/>
        <w:ind w:hanging="568" w:left="568" w:right="0"/>
        <w:jc w:val="both"/>
        <w:rPr>
          <w:rFonts w:ascii="Times New Roman" w:hAnsi="Times New Roman"/>
          <w:b w:val="1"/>
          <w:color w:val="000000"/>
          <w:spacing w:val="0"/>
          <w:sz w:val="24"/>
        </w:rPr>
      </w:pPr>
      <w:r>
        <w:rPr>
          <w:rFonts w:ascii="Times New Roman" w:hAnsi="Times New Roman"/>
          <w:b w:val="1"/>
          <w:color w:val="000000"/>
          <w:spacing w:val="0"/>
          <w:sz w:val="24"/>
        </w:rPr>
        <w:t>Технические особенности</w:t>
      </w:r>
    </w:p>
    <w:p w14:paraId="05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Ягнята рождаются в 3 или 4 квартале года, и их молочное вскармливание и откорм организуют исключительно в стойловых условиях. Лактирующих овцематок также содержат в помещении, где они получают рацион на основе консервированных кормов. Стойловым откормом управлять проще: животновод в большей степени может контролировать условия среды (микроклимат помещений, кормление, профилактика паразитов). Тем не менее, после отъема “стойловых” ягнят нередко выгоняют на пастбища.</w:t>
      </w:r>
    </w:p>
    <w:p w14:paraId="06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Используют породы с внесезонным размножением (или такие, у которых сезон размножения можно сдвигать), ягнята которых отличаются высоким ССП (250-350 г). Молодняк реализуют в возрасте 80-130 дней, то есть с февраля до конца апреля, получая туши массой 16-18 кг., удовлетворяющие потребительский спрос на “пасхальную ягнятину”.</w:t>
      </w:r>
    </w:p>
    <w:p w14:paraId="07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</w:p>
    <w:p w14:paraId="08000000">
      <w:pPr>
        <w:spacing w:after="0" w:before="0"/>
        <w:ind w:hanging="568" w:left="568" w:right="0"/>
        <w:jc w:val="both"/>
        <w:rPr>
          <w:rFonts w:ascii="Times New Roman" w:hAnsi="Times New Roman"/>
          <w:b w:val="1"/>
          <w:color w:val="000000"/>
          <w:spacing w:val="0"/>
          <w:sz w:val="24"/>
        </w:rPr>
      </w:pPr>
      <w:r>
        <w:rPr>
          <w:rFonts w:ascii="Times New Roman" w:hAnsi="Times New Roman"/>
          <w:b w:val="1"/>
          <w:color w:val="000000"/>
          <w:spacing w:val="0"/>
          <w:sz w:val="24"/>
        </w:rPr>
        <w:t>Содержание маточного стада</w:t>
      </w:r>
    </w:p>
    <w:p w14:paraId="09000000">
      <w:pPr>
        <w:spacing w:after="0" w:before="0"/>
        <w:ind w:firstLine="0" w:left="0" w:right="0"/>
        <w:jc w:val="both"/>
        <w:rPr>
          <w:rFonts w:ascii="Times New Roman" w:hAnsi="Times New Roman"/>
          <w:b w:val="1"/>
          <w:i w:val="1"/>
          <w:color w:val="000000"/>
          <w:spacing w:val="0"/>
          <w:sz w:val="24"/>
        </w:rPr>
      </w:pPr>
      <w:r>
        <w:rPr>
          <w:rFonts w:ascii="Times New Roman" w:hAnsi="Times New Roman"/>
          <w:b w:val="1"/>
          <w:i w:val="1"/>
          <w:color w:val="000000"/>
          <w:spacing w:val="0"/>
          <w:sz w:val="24"/>
        </w:rPr>
        <w:t xml:space="preserve">Случная кампания </w:t>
      </w:r>
    </w:p>
    <w:p w14:paraId="0A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 xml:space="preserve">Начинается в середине мая при естественной или индуцированной половой охоте (в этом случае проще группировать окоты). </w:t>
      </w:r>
    </w:p>
    <w:p w14:paraId="0B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Для улучшения результатов необходимо за месяц до кампании провести дегельминтизацию, стрижку, обрезку копыт.</w:t>
      </w:r>
    </w:p>
    <w:p w14:paraId="0C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 xml:space="preserve">В ходе подготовки к случке организуют усиленное кормление </w:t>
      </w:r>
      <w:r>
        <w:rPr>
          <w:rFonts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либо введением в рацион концентрата (желательно овса: 100-300 г/гол. в сут.), либо выгоном на участок с обильным травостоем.</w:t>
      </w:r>
    </w:p>
    <w:p w14:paraId="0D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Перед случкой оцените состояние животных, маток с недостаточной кондицией докармливают и покрывают в более поздние сроки.</w:t>
      </w:r>
    </w:p>
    <w:p w14:paraId="0E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</w:p>
    <w:p w14:paraId="0F000000">
      <w:pPr>
        <w:spacing w:after="0" w:before="0"/>
        <w:ind w:firstLine="0" w:left="0" w:right="0"/>
        <w:jc w:val="both"/>
        <w:rPr>
          <w:rFonts w:ascii="Times New Roman" w:hAnsi="Times New Roman"/>
          <w:i w:val="1"/>
          <w:color w:val="000000"/>
          <w:spacing w:val="0"/>
          <w:sz w:val="24"/>
        </w:rPr>
      </w:pPr>
      <w:r>
        <w:rPr>
          <w:rFonts w:ascii="Times New Roman" w:hAnsi="Times New Roman"/>
          <w:i w:val="1"/>
          <w:color w:val="000000"/>
          <w:spacing w:val="0"/>
          <w:sz w:val="24"/>
        </w:rPr>
        <w:t>Естественная случка</w:t>
      </w:r>
    </w:p>
    <w:p w14:paraId="10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Производителя вводят в стадо маток. В это время года (период длинного дня) на одного самца должно приходиться не более 15-20 самок.</w:t>
      </w:r>
    </w:p>
    <w:p w14:paraId="11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</w:p>
    <w:p w14:paraId="12000000">
      <w:pPr>
        <w:spacing w:after="0" w:before="0"/>
        <w:ind w:firstLine="0" w:left="0" w:right="0"/>
        <w:jc w:val="both"/>
        <w:rPr>
          <w:rFonts w:ascii="Times New Roman" w:hAnsi="Times New Roman"/>
          <w:i w:val="1"/>
          <w:color w:val="000000"/>
          <w:spacing w:val="0"/>
          <w:sz w:val="24"/>
        </w:rPr>
      </w:pPr>
      <w:r>
        <w:rPr>
          <w:rFonts w:ascii="Times New Roman" w:hAnsi="Times New Roman"/>
          <w:i w:val="1"/>
          <w:color w:val="000000"/>
          <w:spacing w:val="0"/>
          <w:sz w:val="24"/>
        </w:rPr>
        <w:t>ИО или ручная случка</w:t>
      </w:r>
    </w:p>
    <w:p w14:paraId="13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Эти два способа реализуют только после синхронизации охоты. Животноводы используют различные методы.</w:t>
      </w:r>
    </w:p>
    <w:p w14:paraId="14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</w:p>
    <w:p w14:paraId="15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/>
          <w:color w:val="000000"/>
          <w:spacing w:val="0"/>
          <w:sz w:val="24"/>
          <w:u w:val="single"/>
        </w:rPr>
        <w:t>Однократный внесезонный окот</w:t>
      </w:r>
    </w:p>
    <w:p w14:paraId="16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 xml:space="preserve">Случная кампания проходит с мая по конец июня, окот </w:t>
      </w:r>
      <w:r>
        <w:rPr>
          <w:rFonts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в следующем году (рис. 15-13). Подход требует значительных затрат.</w:t>
      </w:r>
    </w:p>
    <w:p w14:paraId="17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</w:p>
    <w:p w14:paraId="18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Рис. 15-13. Однократный внесезонный окот</w:t>
      </w:r>
    </w:p>
    <w:p w14:paraId="19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drawing>
          <wp:inline>
            <wp:extent cx="5943601" cy="2499360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5943601" cy="249936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A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  <w:u w:val="single"/>
        </w:rPr>
      </w:pPr>
    </w:p>
    <w:p w14:paraId="1B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/>
          <w:color w:val="000000"/>
          <w:spacing w:val="0"/>
          <w:sz w:val="24"/>
          <w:u w:val="single"/>
        </w:rPr>
        <w:t>Внесезонный окот, ИО + использование производителя</w:t>
      </w:r>
    </w:p>
    <w:p w14:paraId="1C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Подход близок к вышеописанному, но через 5 часов после искусственного осеменения к маткам для надежности выпускают самца (с закрепленным маркером).</w:t>
      </w:r>
    </w:p>
    <w:p w14:paraId="1D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</w:p>
    <w:p w14:paraId="1E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/>
          <w:color w:val="000000"/>
          <w:spacing w:val="0"/>
          <w:sz w:val="24"/>
          <w:u w:val="single"/>
        </w:rPr>
        <w:t>Внесезонный окот с “наверстыванием” осенью</w:t>
      </w:r>
    </w:p>
    <w:p w14:paraId="1F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При данном методе через 1,5-2 месяца после первого ИО организуют вторую случную кампанию</w:t>
      </w:r>
      <w:r>
        <w:rPr>
          <w:rFonts w:ascii="Times New Roman" w:hAnsi="Times New Roman"/>
          <w:color w:val="000000"/>
          <w:spacing w:val="0"/>
          <w:sz w:val="24"/>
        </w:rPr>
        <w:t>, в ходе которой холостых по результатам УЗИ самок снова покрывают одновременно с ярками. Этот подход используют чаще всего (рис. 15-14).</w:t>
      </w:r>
    </w:p>
    <w:p w14:paraId="20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Получаемых при этом ягнят реализуют с мая по июнь, откорм ведется, как правило, на пастбище. Затем сухостойных маток возвращают в основное стадо.</w:t>
      </w:r>
    </w:p>
    <w:p w14:paraId="21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</w:p>
    <w:p w14:paraId="22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Рис. 15-14. Внесезонный окот с “наверстыванием” осенью.</w:t>
      </w:r>
    </w:p>
    <w:p w14:paraId="23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drawing>
          <wp:inline>
            <wp:extent cx="5455920" cy="2598420"/>
            <wp:docPr id="4" name="Picture 4"/>
            <a:graphic>
              <a:graphicData uri="http://schemas.openxmlformats.org/drawingml/2006/picture">
                <pic:pic>
                  <pic:nvPicPr>
                    <pic:cNvPr id="3" name="Picture 3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5455920" cy="25984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4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</w:p>
    <w:p w14:paraId="25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/>
          <w:color w:val="000000"/>
          <w:spacing w:val="0"/>
          <w:sz w:val="24"/>
          <w:u w:val="single"/>
        </w:rPr>
        <w:t>Три окота за два года</w:t>
      </w:r>
    </w:p>
    <w:p w14:paraId="26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 xml:space="preserve">Соблюдается 8-месячный цикл (24 месяца/3). Чаще всего стадо делят на две партии, что позволяет перемещать холостых маток партии </w:t>
      </w:r>
      <w:r>
        <w:rPr>
          <w:rFonts w:ascii="Segoe UI Symbol" w:hAnsi="Segoe UI Symbol"/>
          <w:color w:val="000000"/>
          <w:spacing w:val="0"/>
          <w:sz w:val="24"/>
        </w:rPr>
        <w:t>№</w:t>
      </w:r>
      <w:r>
        <w:rPr>
          <w:rFonts w:ascii="Times New Roman" w:hAnsi="Times New Roman"/>
          <w:color w:val="000000"/>
          <w:spacing w:val="0"/>
          <w:sz w:val="24"/>
        </w:rPr>
        <w:t xml:space="preserve">1 </w:t>
      </w:r>
      <w:r>
        <w:rPr>
          <w:rFonts w:ascii="Times New Roman" w:hAnsi="Times New Roman"/>
          <w:color w:val="000000"/>
          <w:spacing w:val="0"/>
          <w:sz w:val="24"/>
        </w:rPr>
        <w:t xml:space="preserve">в партию самок </w:t>
      </w:r>
      <w:r>
        <w:rPr>
          <w:rFonts w:ascii="Segoe UI Symbol" w:hAnsi="Segoe UI Symbol"/>
          <w:color w:val="000000"/>
          <w:spacing w:val="0"/>
          <w:sz w:val="24"/>
        </w:rPr>
        <w:t>№</w:t>
      </w:r>
      <w:r>
        <w:rPr>
          <w:rFonts w:ascii="Times New Roman" w:hAnsi="Times New Roman"/>
          <w:color w:val="000000"/>
          <w:spacing w:val="0"/>
          <w:sz w:val="24"/>
        </w:rPr>
        <w:t xml:space="preserve">2, </w:t>
      </w:r>
      <w:r>
        <w:rPr>
          <w:rFonts w:ascii="Times New Roman" w:hAnsi="Times New Roman"/>
          <w:color w:val="000000"/>
          <w:spacing w:val="0"/>
          <w:sz w:val="24"/>
        </w:rPr>
        <w:t>направляемую на осеменение, и наоборот (рис. 15-15).</w:t>
      </w:r>
    </w:p>
    <w:p w14:paraId="27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Этот подход требует высокого уровня зоотехнической работы, но зато позволяет в полной мере использовать производственные мощности хозяйства. Существуют и другие варианты.</w:t>
      </w:r>
    </w:p>
    <w:p w14:paraId="28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</w:p>
    <w:p w14:paraId="29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Рис. 15-15. Три окота за два года.</w:t>
      </w:r>
    </w:p>
    <w:p w14:paraId="2A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drawing>
          <wp:inline>
            <wp:extent cx="6481572" cy="3005946"/>
            <wp:docPr id="6" name="Picture 6"/>
            <a:graphic>
              <a:graphicData uri="http://schemas.openxmlformats.org/drawingml/2006/picture">
                <pic:pic>
                  <pic:nvPicPr>
                    <pic:cNvPr id="5" name="Picture 5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6481572" cy="300594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B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</w:p>
    <w:p w14:paraId="2C000000">
      <w:pPr>
        <w:spacing w:after="0" w:before="0"/>
        <w:ind w:firstLine="0" w:left="0" w:right="0"/>
        <w:jc w:val="both"/>
        <w:rPr>
          <w:rFonts w:ascii="Times New Roman" w:hAnsi="Times New Roman"/>
          <w:b w:val="1"/>
          <w:i w:val="1"/>
          <w:color w:val="000000"/>
          <w:spacing w:val="0"/>
          <w:sz w:val="24"/>
        </w:rPr>
      </w:pPr>
      <w:r>
        <w:rPr>
          <w:rFonts w:ascii="Times New Roman" w:hAnsi="Times New Roman"/>
          <w:b w:val="1"/>
          <w:i w:val="1"/>
          <w:color w:val="000000"/>
          <w:spacing w:val="0"/>
          <w:sz w:val="24"/>
        </w:rPr>
        <w:t>Суягность</w:t>
      </w:r>
    </w:p>
    <w:p w14:paraId="2D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Кормление суягных маток с мая по ноябрь не представляет сложностей. Диагностика суягности (с подсчетом числа эмбрионов), проводимая через 45 дней после ИО, позволяет отделить беременных одинцом от многоплодных.</w:t>
      </w:r>
    </w:p>
    <w:p w14:paraId="2E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Для подготовки к лактации</w:t>
      </w:r>
      <w:r>
        <w:rPr>
          <w:rFonts w:ascii="Times New Roman" w:hAnsi="Times New Roman"/>
          <w:color w:val="000000"/>
          <w:spacing w:val="0"/>
          <w:sz w:val="24"/>
        </w:rPr>
        <w:t>:</w:t>
      </w:r>
    </w:p>
    <w:p w14:paraId="2F000000">
      <w:pPr>
        <w:numPr>
          <w:ilvl w:val="0"/>
          <w:numId w:val="1"/>
        </w:num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 xml:space="preserve">Вводят минеральные </w:t>
      </w:r>
      <w:r>
        <w:rPr>
          <w:rFonts w:ascii="Times New Roman" w:hAnsi="Times New Roman"/>
          <w:color w:val="000000"/>
          <w:spacing w:val="0"/>
          <w:sz w:val="24"/>
        </w:rPr>
        <w:t xml:space="preserve">добавки </w:t>
      </w:r>
      <w:r>
        <w:rPr>
          <w:rFonts w:ascii="Times New Roman" w:hAnsi="Times New Roman"/>
          <w:color w:val="000000"/>
          <w:spacing w:val="0"/>
          <w:sz w:val="24"/>
        </w:rPr>
        <w:t>с 4 месяца суягности.</w:t>
      </w:r>
    </w:p>
    <w:p w14:paraId="30000000">
      <w:pPr>
        <w:numPr>
          <w:ilvl w:val="0"/>
          <w:numId w:val="1"/>
        </w:num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Маток с 5 месяца суягности размещают в помещениях и организуют усиленное кормление (из расчета 200 г овса для одноплодных и 400-500 г для многоплодных), обеспечивающее хороший старт лактации. После перехода на стойловое содержание животных дегельминтизируют, вакцинируют с интервалом в несколько дней. Рекомендуется провести стрижку. Поскольку окоты проходят в ограниченный период (как правило, около 10 дней), целесообразно предусмотреть не менее 10 загонов для окота на 100 овцематок.</w:t>
      </w:r>
    </w:p>
    <w:p w14:paraId="31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</w:p>
    <w:p w14:paraId="32000000">
      <w:pPr>
        <w:spacing w:after="0" w:before="0"/>
        <w:ind w:firstLine="0" w:left="0" w:right="0"/>
        <w:jc w:val="both"/>
        <w:rPr>
          <w:rFonts w:ascii="Times New Roman" w:hAnsi="Times New Roman"/>
          <w:b w:val="1"/>
          <w:i w:val="1"/>
          <w:color w:val="000000"/>
          <w:spacing w:val="0"/>
          <w:sz w:val="24"/>
        </w:rPr>
      </w:pPr>
      <w:r>
        <w:rPr>
          <w:rFonts w:ascii="Times New Roman" w:hAnsi="Times New Roman"/>
          <w:b w:val="1"/>
          <w:i w:val="1"/>
          <w:color w:val="000000"/>
          <w:spacing w:val="0"/>
          <w:sz w:val="24"/>
        </w:rPr>
        <w:t>Лактация</w:t>
      </w:r>
    </w:p>
    <w:p w14:paraId="33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 xml:space="preserve">Крайне важный для молодняка период, определяющий темпы роста ягнят с 6-недельного возраста до убоя. Для обеспечения максимальной молочной продуктивности в рацион лактирующих маток необходимо </w:t>
      </w:r>
      <w:r>
        <w:rPr>
          <w:rFonts w:ascii="Times New Roman" w:hAnsi="Times New Roman"/>
          <w:color w:val="000000"/>
          <w:spacing w:val="0"/>
          <w:sz w:val="24"/>
        </w:rPr>
        <w:t>ввести 500-800 г концентрата. За 15 дней до отъема дачу концентрата начинают постепенно сокращать (фото 15-4).</w:t>
      </w:r>
    </w:p>
    <w:p w14:paraId="34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</w:p>
    <w:p w14:paraId="35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drawing>
          <wp:inline>
            <wp:extent cx="5661660" cy="3756659"/>
            <wp:docPr id="8" name="Picture 8"/>
            <a:graphic>
              <a:graphicData uri="http://schemas.openxmlformats.org/drawingml/2006/picture">
                <pic:pic>
                  <pic:nvPicPr>
                    <pic:cNvPr id="7" name="Picture 7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661660" cy="375665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6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Фото 15-4. Ягнята в стойловых условиях.</w:t>
      </w:r>
    </w:p>
    <w:p w14:paraId="37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</w:p>
    <w:p w14:paraId="38000000">
      <w:pPr>
        <w:spacing w:after="0" w:before="0"/>
        <w:ind w:firstLine="0" w:left="0" w:right="0"/>
        <w:jc w:val="both"/>
        <w:rPr>
          <w:rFonts w:ascii="Times New Roman" w:hAnsi="Times New Roman"/>
          <w:b w:val="1"/>
          <w:color w:val="000000"/>
          <w:spacing w:val="0"/>
          <w:sz w:val="24"/>
        </w:rPr>
      </w:pPr>
      <w:r>
        <w:rPr>
          <w:rFonts w:ascii="Times New Roman" w:hAnsi="Times New Roman"/>
          <w:b w:val="1"/>
          <w:color w:val="000000"/>
          <w:spacing w:val="0"/>
          <w:sz w:val="24"/>
        </w:rPr>
        <w:t>Содержание ягнят</w:t>
      </w:r>
    </w:p>
    <w:p w14:paraId="39000000">
      <w:pPr>
        <w:spacing w:after="0" w:before="0"/>
        <w:ind w:firstLine="0" w:left="0" w:right="0"/>
        <w:jc w:val="both"/>
        <w:rPr>
          <w:rFonts w:ascii="Times New Roman" w:hAnsi="Times New Roman"/>
          <w:b w:val="1"/>
          <w:i w:val="1"/>
          <w:color w:val="000000"/>
          <w:spacing w:val="0"/>
          <w:sz w:val="24"/>
        </w:rPr>
      </w:pPr>
      <w:r>
        <w:rPr>
          <w:rFonts w:ascii="Times New Roman" w:hAnsi="Times New Roman"/>
          <w:b w:val="1"/>
          <w:i w:val="1"/>
          <w:color w:val="000000"/>
          <w:spacing w:val="0"/>
          <w:sz w:val="24"/>
        </w:rPr>
        <w:t>Уход за молодняком</w:t>
      </w:r>
    </w:p>
    <w:p w14:paraId="3A000000">
      <w:pPr>
        <w:numPr>
          <w:ilvl w:val="0"/>
          <w:numId w:val="2"/>
        </w:num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В отличие от ягнят на пастбищном содержании, купирование хвостов проводится только у самок, оставляемых на ремонт стада. Диарея, в основном связанная с питанием пастбищным травостоем, при стойловом содержании обычно не отмечается, и, таким образом, особой нужды в купировании хвостов животных, предназначенных на убой, не возникает.</w:t>
      </w:r>
    </w:p>
    <w:p w14:paraId="3B000000">
      <w:pPr>
        <w:numPr>
          <w:ilvl w:val="0"/>
          <w:numId w:val="2"/>
        </w:num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 xml:space="preserve">Комфортная температура для молодняка в первые несколько дней жизни </w:t>
      </w:r>
      <w:r>
        <w:rPr>
          <w:rFonts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0"/>
          <w:sz w:val="24"/>
        </w:rPr>
        <w:t xml:space="preserve"> 18 </w:t>
      </w:r>
      <w:r>
        <w:rPr>
          <w:rFonts w:ascii="Times New Roman" w:hAnsi="Times New Roman"/>
          <w:color w:val="000000"/>
          <w:spacing w:val="0"/>
          <w:sz w:val="24"/>
        </w:rPr>
        <w:t xml:space="preserve">°C, </w:t>
      </w:r>
      <w:r>
        <w:rPr>
          <w:rFonts w:ascii="Times New Roman" w:hAnsi="Times New Roman"/>
          <w:color w:val="000000"/>
          <w:spacing w:val="0"/>
          <w:sz w:val="24"/>
        </w:rPr>
        <w:t xml:space="preserve">позже </w:t>
      </w:r>
      <w:r>
        <w:rPr>
          <w:rFonts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br/>
      </w:r>
      <w:r>
        <w:rPr>
          <w:rFonts w:ascii="Times New Roman" w:hAnsi="Times New Roman"/>
          <w:color w:val="000000"/>
          <w:spacing w:val="0"/>
          <w:sz w:val="24"/>
        </w:rPr>
        <w:t xml:space="preserve">13 </w:t>
      </w:r>
      <w:r>
        <w:rPr>
          <w:rFonts w:ascii="Times New Roman" w:hAnsi="Times New Roman"/>
          <w:color w:val="000000"/>
          <w:spacing w:val="0"/>
          <w:sz w:val="24"/>
        </w:rPr>
        <w:t>°</w:t>
      </w:r>
      <w:r>
        <w:rPr>
          <w:rFonts w:ascii="Times New Roman" w:hAnsi="Times New Roman"/>
          <w:color w:val="000000"/>
          <w:spacing w:val="0"/>
          <w:sz w:val="24"/>
        </w:rPr>
        <w:t xml:space="preserve">C. </w:t>
      </w:r>
      <w:r>
        <w:rPr>
          <w:rFonts w:ascii="Times New Roman" w:hAnsi="Times New Roman"/>
          <w:color w:val="000000"/>
          <w:spacing w:val="0"/>
          <w:sz w:val="24"/>
        </w:rPr>
        <w:t xml:space="preserve">В загоне для ягнят должна быть установлена инфракрасная лампа для обогрева. </w:t>
      </w:r>
    </w:p>
    <w:p w14:paraId="3C000000">
      <w:pPr>
        <w:spacing w:after="0" w:before="0"/>
        <w:ind w:firstLine="0" w:left="0" w:right="0"/>
        <w:jc w:val="both"/>
        <w:rPr>
          <w:rFonts w:ascii="Times New Roman" w:hAnsi="Times New Roman"/>
          <w:b w:val="1"/>
          <w:i w:val="1"/>
          <w:color w:val="000000"/>
          <w:spacing w:val="0"/>
          <w:sz w:val="24"/>
        </w:rPr>
      </w:pPr>
    </w:p>
    <w:p w14:paraId="3D000000">
      <w:pPr>
        <w:spacing w:after="0" w:before="0"/>
        <w:ind w:firstLine="0" w:left="0" w:right="0"/>
        <w:jc w:val="both"/>
        <w:rPr>
          <w:rFonts w:ascii="Times New Roman" w:hAnsi="Times New Roman"/>
          <w:b w:val="1"/>
          <w:i w:val="1"/>
          <w:color w:val="000000"/>
          <w:spacing w:val="0"/>
          <w:sz w:val="24"/>
        </w:rPr>
      </w:pPr>
      <w:r>
        <w:rPr>
          <w:rFonts w:ascii="Times New Roman" w:hAnsi="Times New Roman"/>
          <w:b w:val="1"/>
          <w:i w:val="1"/>
          <w:color w:val="000000"/>
          <w:spacing w:val="0"/>
          <w:sz w:val="24"/>
        </w:rPr>
        <w:t>Отъем</w:t>
      </w:r>
    </w:p>
    <w:p w14:paraId="3E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Отъем в теории проводится в возрасте 70 дней, но на практике его организуют при подготовке к продаже первых ягнят. Его можно отложить до 80 дней (за исключением ярок, которые должны расти и набрать вес к своей первой случной кампании), но следует помнить, что в этом случае имеется риск чрезмерного осаливания туш у ягнят с наиболее интенсивным ростом. Необходим регулярный мониторинг кондиции и частая регулярная сортировка, переразбивка ягнят на группы в конце откорма.</w:t>
      </w:r>
    </w:p>
    <w:p w14:paraId="3F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</w:p>
    <w:p w14:paraId="40000000">
      <w:pPr>
        <w:spacing w:after="0" w:before="0"/>
        <w:ind w:firstLine="0" w:left="0" w:right="0"/>
        <w:jc w:val="both"/>
        <w:rPr>
          <w:rFonts w:ascii="Times New Roman" w:hAnsi="Times New Roman"/>
          <w:b w:val="1"/>
          <w:color w:val="000000"/>
          <w:spacing w:val="0"/>
          <w:sz w:val="24"/>
        </w:rPr>
      </w:pPr>
      <w:r>
        <w:rPr>
          <w:rFonts w:ascii="Times New Roman" w:hAnsi="Times New Roman"/>
          <w:b w:val="1"/>
          <w:color w:val="000000"/>
          <w:spacing w:val="0"/>
          <w:sz w:val="24"/>
        </w:rPr>
        <w:t>Организация кормления</w:t>
      </w:r>
    </w:p>
    <w:p w14:paraId="41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 xml:space="preserve">Изменения в рационе маток следует производить постепенно, в течение 8-10 дней до установленной даты отъема. В первую очередь необходимо прекратить раздачу белкового концентрата, через несколько дней </w:t>
      </w:r>
      <w:r>
        <w:rPr>
          <w:rFonts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зерна. Разделение пары матка-ягненок должно быть окончательным. Далее овцематки получают низкоэнергетические корма (солома, сено) и воду. Некоторые специалисты убирают воду на 24 часа для профилактики мастита у обильномолочных маток.</w:t>
      </w:r>
    </w:p>
    <w:p w14:paraId="42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В загоне для молодняка размещают кормушку с гранулированным комбикормом для 1-го возраста (фото 15-5). Комфортные условия этого загона (обогрев, отсутствие взрослых животных и т.д.) стимулируют ягнят проводить там время, поэтому они быстро начинают потреблять стартерный корм. Животных с</w:t>
      </w:r>
      <w:r>
        <w:rPr>
          <w:rFonts w:ascii="Times New Roman" w:hAnsi="Times New Roman"/>
          <w:color w:val="000000"/>
          <w:spacing w:val="0"/>
          <w:sz w:val="24"/>
        </w:rPr>
        <w:t xml:space="preserve">ледует приучать к питанию концентратом в как можно более раннем возрасте; с месячного возраста стартовый комбикорм заменяют на корма для откорма (рис. 15-15 и 15-17). В начале откорма концентраты вводят из расчета 0,8 СМЕ (силосно-мясных единиц) и 135 г ПП (переваримого протеина) на кг СВ, в конце </w:t>
      </w:r>
      <w:r>
        <w:rPr>
          <w:rFonts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0"/>
          <w:sz w:val="24"/>
        </w:rPr>
        <w:t xml:space="preserve"> 0,8 </w:t>
      </w:r>
      <w:r>
        <w:rPr>
          <w:rFonts w:ascii="Times New Roman" w:hAnsi="Times New Roman"/>
          <w:color w:val="000000"/>
          <w:spacing w:val="0"/>
          <w:sz w:val="24"/>
        </w:rPr>
        <w:t>СМЕ и 120 г ПП на кг СВ.</w:t>
      </w:r>
    </w:p>
    <w:p w14:paraId="43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Молодняк важно обеспечить:</w:t>
      </w:r>
    </w:p>
    <w:p w14:paraId="44000000">
      <w:pPr>
        <w:numPr>
          <w:ilvl w:val="0"/>
          <w:numId w:val="3"/>
        </w:num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чистой водой (поилк</w:t>
      </w:r>
      <w:r>
        <w:rPr>
          <w:rFonts w:ascii="Times New Roman" w:hAnsi="Times New Roman"/>
          <w:color w:val="000000"/>
          <w:spacing w:val="0"/>
          <w:sz w:val="24"/>
        </w:rPr>
        <w:t>а должна располагаться на подходящей высоте);</w:t>
      </w:r>
    </w:p>
    <w:p w14:paraId="45000000">
      <w:pPr>
        <w:numPr>
          <w:ilvl w:val="0"/>
          <w:numId w:val="3"/>
        </w:num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сеном хорошего качества вволю;</w:t>
      </w:r>
    </w:p>
    <w:p w14:paraId="46000000">
      <w:pPr>
        <w:numPr>
          <w:ilvl w:val="0"/>
          <w:numId w:val="3"/>
        </w:num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соломой вволю.</w:t>
      </w:r>
    </w:p>
    <w:p w14:paraId="47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</w:p>
    <w:p w14:paraId="48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drawing>
          <wp:inline>
            <wp:extent cx="4907280" cy="3268980"/>
            <wp:docPr id="10" name="Picture 10"/>
            <a:graphic>
              <a:graphicData uri="http://schemas.openxmlformats.org/drawingml/2006/picture">
                <pic:pic>
                  <pic:nvPicPr>
                    <pic:cNvPr id="9" name="Picture 9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4907280" cy="32689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9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Фото 15-5. Докорм ягнят.</w:t>
      </w:r>
    </w:p>
    <w:p w14:paraId="4A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</w:p>
    <w:p w14:paraId="4B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</w:p>
    <w:p w14:paraId="4C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</w:p>
    <w:p w14:paraId="4D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</w:p>
    <w:p w14:paraId="4E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</w:p>
    <w:p w14:paraId="4F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</w:p>
    <w:p w14:paraId="50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</w:p>
    <w:p w14:paraId="51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</w:p>
    <w:p w14:paraId="52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</w:p>
    <w:p w14:paraId="53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Рис. 15-16. Дополнительный корм для выращивания и откорма ягнят.</w:t>
      </w:r>
    </w:p>
    <w:p w14:paraId="54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drawing>
          <wp:inline>
            <wp:extent cx="5669280" cy="9098281"/>
            <wp:docPr id="12" name="Picture 12"/>
            <a:graphic>
              <a:graphicData uri="http://schemas.openxmlformats.org/drawingml/2006/picture">
                <pic:pic>
                  <pic:nvPicPr>
                    <pic:cNvPr id="11" name="Picture 11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5669280" cy="909828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5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</w:p>
    <w:p w14:paraId="56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Рис. 15-17. Дополнительный корм для взрослых овец.</w:t>
      </w:r>
    </w:p>
    <w:p w14:paraId="57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drawing>
          <wp:inline>
            <wp:extent cx="5516880" cy="8877301"/>
            <wp:docPr id="14" name="Picture 14"/>
            <a:graphic>
              <a:graphicData uri="http://schemas.openxmlformats.org/drawingml/2006/picture">
                <pic:pic>
                  <pic:nvPicPr>
                    <pic:cNvPr id="13" name="Picture 13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5516880" cy="887730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8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</w:p>
    <w:p w14:paraId="59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</w:p>
    <w:p w14:paraId="5A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 xml:space="preserve">На двух ягнят должно приходиться 1 м2 площади пола помещения. При кормлении вволю предусматривают фронт кормления 7 см на 1 голову, при нормированном кормлении </w:t>
      </w:r>
      <w:r>
        <w:rPr>
          <w:rFonts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0"/>
          <w:sz w:val="24"/>
        </w:rPr>
        <w:t xml:space="preserve"> 25-30 </w:t>
      </w:r>
      <w:r>
        <w:rPr>
          <w:rFonts w:ascii="Times New Roman" w:hAnsi="Times New Roman"/>
          <w:color w:val="000000"/>
          <w:spacing w:val="0"/>
          <w:sz w:val="24"/>
        </w:rPr>
        <w:t>см (фото 15-6 и 15-7).</w:t>
      </w:r>
    </w:p>
    <w:p w14:paraId="5B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Промышленный корм можно заменить кормом собственного производства из цельнозерновых злаков. Его используют в кормлении ягнят массой не менее 18 кг, скармливая им зерно в плющеном или измельченном (крупный помол) виде (см. докорм при пастбищном выращивании ягнят, стр. 247).</w:t>
      </w:r>
    </w:p>
    <w:p w14:paraId="5C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</w:p>
    <w:p w14:paraId="5D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drawing>
          <wp:inline>
            <wp:extent cx="4488180" cy="2933700"/>
            <wp:docPr id="16" name="Picture 16"/>
            <a:graphic>
              <a:graphicData uri="http://schemas.openxmlformats.org/drawingml/2006/picture">
                <pic:pic>
                  <pic:nvPicPr>
                    <pic:cNvPr id="15" name="Picture 15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4488180" cy="29337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E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Фото 15-6. Докорм ягнят.</w:t>
      </w:r>
    </w:p>
    <w:p w14:paraId="5F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</w:p>
    <w:p w14:paraId="60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drawing>
          <wp:inline>
            <wp:extent cx="4411980" cy="2880360"/>
            <wp:docPr id="18" name="Picture 18"/>
            <a:graphic>
              <a:graphicData uri="http://schemas.openxmlformats.org/drawingml/2006/picture">
                <pic:pic>
                  <pic:nvPicPr>
                    <pic:cNvPr id="17" name="Picture 17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4411980" cy="288036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1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Фото 15-7. Раздача докорма ягнятам.</w:t>
      </w:r>
    </w:p>
    <w:p w14:paraId="62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</w:p>
    <w:p w14:paraId="63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Внимание: избыток фосфора в злаковых кормах может вызвать развитие м</w:t>
      </w:r>
      <w:r>
        <w:rPr>
          <w:rFonts w:ascii="Times New Roman" w:hAnsi="Times New Roman"/>
          <w:color w:val="000000"/>
          <w:spacing w:val="0"/>
          <w:sz w:val="24"/>
        </w:rPr>
        <w:t xml:space="preserve">очекаменной болезни. В профилактических целях применяют хлорид аммония из расчета 1% от рациона (уточните условия применения у ветеринара или производителя препарата) или подбирают минеральные добавки с низким содержанием фосфора. </w:t>
      </w:r>
    </w:p>
    <w:p w14:paraId="64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Ягнят, превращающихся в заморышей вследствие недостаточной молочной продуктивности маток, можно дополнительно подкормить ЗЦМ. Это позволит сохранить приемлемые темпы роста в критический период, позже, получая достаточное питание, животные отучаются от этого корма сами.</w:t>
      </w:r>
    </w:p>
    <w:p w14:paraId="65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Ягнят, выращенных исключительно на ЗЦМ, приходится постепенно отучать от него, давая стартовый комбикорм и позже рацион для откорма.</w:t>
      </w:r>
    </w:p>
    <w:p w14:paraId="66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 xml:space="preserve">Промышленные или собственные корма следует распределять в зависимости от особенностей животных на откорме </w:t>
      </w:r>
      <w:r>
        <w:rPr>
          <w:rFonts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либо вволю, либо нормированно для самок (во избежание чрезмерного ожирения) и вволю для самцов. Это зависит от породы.</w:t>
      </w:r>
    </w:p>
    <w:p w14:paraId="67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Ягнят реализуют в возрасте около 90 дней после ручной оценки упитанности. Как только будут продана первая партия, проводят отъем остальных. Овцематок выгоняют из загона и, после суточного ограничения поения, переводят на пастбищное содержание.</w:t>
      </w:r>
    </w:p>
    <w:p w14:paraId="68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Средние расходы концентратов:</w:t>
      </w:r>
    </w:p>
    <w:p w14:paraId="69000000">
      <w:pPr>
        <w:numPr>
          <w:ilvl w:val="0"/>
          <w:numId w:val="4"/>
        </w:num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 xml:space="preserve">3-5 </w:t>
      </w:r>
      <w:r>
        <w:rPr>
          <w:rFonts w:ascii="Times New Roman" w:hAnsi="Times New Roman"/>
          <w:color w:val="000000"/>
          <w:spacing w:val="0"/>
          <w:sz w:val="24"/>
        </w:rPr>
        <w:t>кг стартера;</w:t>
      </w:r>
    </w:p>
    <w:p w14:paraId="6A000000">
      <w:pPr>
        <w:numPr>
          <w:ilvl w:val="0"/>
          <w:numId w:val="4"/>
        </w:num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4</w:t>
      </w:r>
      <w:r>
        <w:rPr>
          <w:rFonts w:ascii="Times New Roman" w:hAnsi="Times New Roman"/>
          <w:color w:val="000000"/>
          <w:spacing w:val="0"/>
          <w:sz w:val="24"/>
        </w:rPr>
        <w:t xml:space="preserve">5-75 </w:t>
      </w:r>
      <w:r>
        <w:rPr>
          <w:rFonts w:ascii="Times New Roman" w:hAnsi="Times New Roman"/>
          <w:color w:val="000000"/>
          <w:spacing w:val="0"/>
          <w:sz w:val="24"/>
        </w:rPr>
        <w:t>кг на откорме.</w:t>
      </w:r>
    </w:p>
    <w:p w14:paraId="6B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 xml:space="preserve">Для обеспечения максимальной продуктивности в помещении не должно быть сквозняков, перепадов влажности и температуры. Наилучший рост молодняка отмечается при температуре около 13 </w:t>
      </w:r>
      <w:r>
        <w:rPr>
          <w:rFonts w:ascii="Times New Roman" w:hAnsi="Times New Roman"/>
          <w:color w:val="000000"/>
          <w:spacing w:val="0"/>
          <w:sz w:val="24"/>
        </w:rPr>
        <w:t>°C (</w:t>
      </w:r>
      <w:r>
        <w:rPr>
          <w:rFonts w:ascii="Times New Roman" w:hAnsi="Times New Roman"/>
          <w:color w:val="000000"/>
          <w:spacing w:val="0"/>
          <w:sz w:val="24"/>
        </w:rPr>
        <w:t>рис. 15-18).</w:t>
      </w:r>
    </w:p>
    <w:p w14:paraId="6C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</w:p>
    <w:p w14:paraId="6D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Рис. 15-18. Зависимость ССП от температуры.</w:t>
      </w:r>
    </w:p>
    <w:p w14:paraId="6E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drawing>
          <wp:inline>
            <wp:extent cx="3436620" cy="2255520"/>
            <wp:docPr id="20" name="Picture 20"/>
            <a:graphic>
              <a:graphicData uri="http://schemas.openxmlformats.org/drawingml/2006/picture">
                <pic:pic>
                  <pic:nvPicPr>
                    <pic:cNvPr id="19" name="Picture 19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3436620" cy="22555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F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</w:p>
    <w:p w14:paraId="70000000">
      <w:pPr>
        <w:spacing w:after="0" w:before="0"/>
        <w:ind w:firstLine="0" w:left="0" w:right="0"/>
        <w:jc w:val="both"/>
        <w:rPr>
          <w:rFonts w:ascii="Times New Roman" w:hAnsi="Times New Roman"/>
          <w:b w:val="1"/>
          <w:color w:val="000000"/>
          <w:spacing w:val="0"/>
          <w:sz w:val="24"/>
        </w:rPr>
      </w:pPr>
      <w:r>
        <w:rPr>
          <w:rFonts w:ascii="Times New Roman" w:hAnsi="Times New Roman"/>
          <w:b w:val="1"/>
          <w:color w:val="000000"/>
          <w:spacing w:val="0"/>
          <w:sz w:val="24"/>
        </w:rPr>
        <w:t>Ветеринарные мероприятия</w:t>
      </w:r>
    </w:p>
    <w:p w14:paraId="71000000">
      <w:pPr>
        <w:spacing w:after="0" w:before="0"/>
        <w:ind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Короткий производственный цикл и контроль условий содержания в помещении позволяют обойтись минимумом ветеринарных мероприятий (фото 15-8):</w:t>
      </w:r>
    </w:p>
    <w:p w14:paraId="72000000">
      <w:pPr>
        <w:numPr>
          <w:numId w:val="5"/>
        </w:num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 xml:space="preserve">Меры при окоте </w:t>
      </w:r>
      <w:r>
        <w:rPr>
          <w:rFonts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см. ранее с. 129.</w:t>
      </w:r>
    </w:p>
    <w:p w14:paraId="73000000">
      <w:pPr>
        <w:numPr>
          <w:numId w:val="5"/>
        </w:num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Вакцинация против э</w:t>
      </w:r>
      <w:r>
        <w:rPr>
          <w:rFonts w:ascii="Times New Roman" w:hAnsi="Times New Roman"/>
          <w:color w:val="000000"/>
          <w:spacing w:val="0"/>
          <w:sz w:val="24"/>
        </w:rPr>
        <w:t xml:space="preserve">нтеротоксемии, учитывая особенности питания стойлового молодняка, совершенно необходима. Овцематок вакцинируют за месяц до окота, одновременно часто делают прививку от сальмонеллеза. Ягнятам в возрасте 3 недель вводят бустерную дозу. </w:t>
      </w:r>
    </w:p>
    <w:p w14:paraId="74000000">
      <w:pPr>
        <w:numPr>
          <w:numId w:val="5"/>
        </w:num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 xml:space="preserve">Для профилактики беломышечной болезни в месячном возрасте делают инъекции препаратов селена. </w:t>
      </w:r>
    </w:p>
    <w:p w14:paraId="75000000">
      <w:pPr>
        <w:numPr>
          <w:numId w:val="5"/>
        </w:num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Для профилактики кокцидиоза необходимо следить, чтобы подстилка была сухой, регулярно ее обновлять, не допускать скученности в загонах, следить за чистотой кормушек и поилок. Некоторые специалисты рекомендуют систематическое использование кокцидиостатиков с 40-дневного возраста. В неблагополучных по заболеванию хозяйствах необходимо проводить профилактические и искореняющие мероприятия (фото 15-9 и 15-10).</w:t>
      </w:r>
    </w:p>
    <w:p w14:paraId="76000000">
      <w:pPr>
        <w:numPr>
          <w:ilvl w:val="0"/>
        </w:num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</w:p>
    <w:p w14:paraId="77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drawing>
          <wp:inline>
            <wp:extent cx="3238500" cy="3040380"/>
            <wp:docPr id="22" name="Picture 22"/>
            <a:graphic>
              <a:graphicData uri="http://schemas.openxmlformats.org/drawingml/2006/picture">
                <pic:pic>
                  <pic:nvPicPr>
                    <pic:cNvPr id="21" name="Picture 21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3238500" cy="30403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8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Фото 15-8. Раздача цельнозернового корма.</w:t>
      </w:r>
    </w:p>
    <w:p w14:paraId="79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</w:p>
    <w:p w14:paraId="7A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drawing>
          <wp:inline>
            <wp:extent cx="2895600" cy="3307080"/>
            <wp:docPr id="24" name="Picture 24"/>
            <a:graphic>
              <a:graphicData uri="http://schemas.openxmlformats.org/drawingml/2006/picture">
                <pic:pic>
                  <pic:nvPicPr>
                    <pic:cNvPr id="23" name="Picture 23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2895600" cy="330708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B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Фото 15-9. Партия ягнят на завершающем этапе откорма.</w:t>
      </w:r>
    </w:p>
    <w:p w14:paraId="7C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</w:p>
    <w:p w14:paraId="7D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drawing>
          <wp:inline>
            <wp:extent cx="3657600" cy="2186940"/>
            <wp:docPr id="26" name="Picture 26"/>
            <a:graphic>
              <a:graphicData uri="http://schemas.openxmlformats.org/drawingml/2006/picture">
                <pic:pic>
                  <pic:nvPicPr>
                    <pic:cNvPr id="25" name="Picture 25"/>
                    <pic:cNvPicPr preferRelativeResize="true"/>
                  </pic:nvPicPr>
                  <pic:blipFill>
                    <a:blip r:embed="rId14"/>
                    <a:stretch/>
                  </pic:blipFill>
                  <pic:spPr>
                    <a:xfrm flipH="false" flipV="false" rot="0">
                      <a:ext cx="3657600" cy="21869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E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Фото 15-10. Идентификация ягнят перед сдачей на мясо.</w:t>
      </w:r>
    </w:p>
    <w:p w14:paraId="7F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</w:p>
    <w:p w14:paraId="80000000">
      <w:pPr>
        <w:spacing w:after="0" w:before="0"/>
        <w:ind w:firstLine="0" w:left="0" w:right="0"/>
        <w:jc w:val="both"/>
        <w:rPr>
          <w:rFonts w:ascii="Times New Roman" w:hAnsi="Times New Roman"/>
          <w:i w:val="1"/>
          <w:color w:val="000000"/>
          <w:spacing w:val="0"/>
          <w:sz w:val="24"/>
        </w:rPr>
      </w:pPr>
      <w:r>
        <w:rPr>
          <w:rFonts w:ascii="Times New Roman" w:hAnsi="Times New Roman"/>
          <w:b w:val="1"/>
          <w:color w:val="000000"/>
          <w:spacing w:val="0"/>
          <w:sz w:val="24"/>
        </w:rPr>
        <w:t>Пороки качества жира</w:t>
      </w:r>
    </w:p>
    <w:p w14:paraId="81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i w:val="1"/>
          <w:color w:val="000000"/>
          <w:spacing w:val="0"/>
          <w:sz w:val="24"/>
        </w:rPr>
        <w:t>Предупреждение</w:t>
      </w:r>
    </w:p>
    <w:p w14:paraId="82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Информация о свойствах и пороках жира в таблицах (рис. 15-19…15-23) и предлагаемые меры касаю</w:t>
      </w:r>
      <w:r>
        <w:rPr>
          <w:rFonts w:ascii="Times New Roman" w:hAnsi="Times New Roman"/>
          <w:color w:val="000000"/>
          <w:spacing w:val="0"/>
          <w:sz w:val="24"/>
        </w:rPr>
        <w:t>тся в основном ягнят раннеспелых и пастбищных пород. Не следует переносить их на другие породы (особенно местные).</w:t>
      </w:r>
    </w:p>
    <w:p w14:paraId="83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</w:p>
    <w:p w14:paraId="84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Рис. 15-19. Ягнята стойлового содержания, отъем которых производится в раннем возрасте (60-80 дней): дефекты качества жира наблюдаются у первых забитых ягнят (“верхушка” партии).</w:t>
      </w:r>
    </w:p>
    <w:p w14:paraId="85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  <w:highlight w:val="magenta"/>
        </w:rPr>
      </w:pPr>
      <w:r>
        <w:drawing>
          <wp:inline>
            <wp:extent cx="5905500" cy="3870959"/>
            <wp:docPr id="28" name="Picture 28"/>
            <a:graphic>
              <a:graphicData uri="http://schemas.openxmlformats.org/drawingml/2006/picture">
                <pic:pic>
                  <pic:nvPicPr>
                    <pic:cNvPr id="27" name="Picture 27"/>
                    <pic:cNvPicPr preferRelativeResize="true"/>
                  </pic:nvPicPr>
                  <pic:blipFill>
                    <a:blip r:embed="rId15"/>
                    <a:stretch/>
                  </pic:blipFill>
                  <pic:spPr>
                    <a:xfrm flipH="false" flipV="false" rot="0">
                      <a:ext cx="5905500" cy="387095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6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</w:p>
    <w:p w14:paraId="87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Рис. 15-20. Ягнята стойлового содержания, отъем которых производится в раннем возрасте (60-80 дней): дефекты качества жира наблюдаются у ягнят, забитых после 110 дней.</w:t>
      </w:r>
    </w:p>
    <w:p w14:paraId="88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  <w:highlight w:val="magenta"/>
        </w:rPr>
      </w:pPr>
      <w:r>
        <w:drawing>
          <wp:inline>
            <wp:extent cx="5638800" cy="3512820"/>
            <wp:docPr id="30" name="Picture 30"/>
            <a:graphic>
              <a:graphicData uri="http://schemas.openxmlformats.org/drawingml/2006/picture">
                <pic:pic>
                  <pic:nvPicPr>
                    <pic:cNvPr id="29" name="Picture 29"/>
                    <pic:cNvPicPr preferRelativeResize="true"/>
                  </pic:nvPicPr>
                  <pic:blipFill>
                    <a:blip r:embed="rId16"/>
                    <a:stretch/>
                  </pic:blipFill>
                  <pic:spPr>
                    <a:xfrm flipH="false" flipV="false" rot="0">
                      <a:ext cx="5638800" cy="35128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9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</w:p>
    <w:p w14:paraId="8A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Рис. 15-21. Ягнята стойлового содержания, отъем которых проведен в возрасте около 90 дней: дефекты качества жира наблюдаются у ягнят, забитых после 110 дней.</w:t>
      </w:r>
    </w:p>
    <w:p w14:paraId="8B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drawing>
          <wp:inline>
            <wp:extent cx="6481572" cy="4081930"/>
            <wp:docPr id="32" name="Picture 32"/>
            <a:graphic>
              <a:graphicData uri="http://schemas.openxmlformats.org/drawingml/2006/picture">
                <pic:pic>
                  <pic:nvPicPr>
                    <pic:cNvPr id="31" name="Picture 31"/>
                    <pic:cNvPicPr preferRelativeResize="true"/>
                  </pic:nvPicPr>
                  <pic:blipFill>
                    <a:blip r:embed="rId17"/>
                    <a:stretch/>
                  </pic:blipFill>
                  <pic:spPr>
                    <a:xfrm flipH="false" flipV="false" rot="0">
                      <a:ext cx="6481572" cy="408193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C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</w:p>
    <w:p w14:paraId="8D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</w:p>
    <w:p w14:paraId="8E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Рис. 15-22. Ягнята стойлового содержания, отъем которых проведен после 90 дней или не проведен: дефекты качества жира наблюдаются у ягнят, забитых около 90 дней.</w:t>
      </w:r>
      <w:r>
        <w:drawing>
          <wp:inline>
            <wp:extent cx="6481572" cy="4056616"/>
            <wp:docPr id="34" name="Picture 34"/>
            <a:graphic>
              <a:graphicData uri="http://schemas.openxmlformats.org/drawingml/2006/picture">
                <pic:pic>
                  <pic:nvPicPr>
                    <pic:cNvPr id="33" name="Picture 33"/>
                    <pic:cNvPicPr preferRelativeResize="true"/>
                  </pic:nvPicPr>
                  <pic:blipFill>
                    <a:blip r:embed="rId18"/>
                    <a:stretch/>
                  </pic:blipFill>
                  <pic:spPr>
                    <a:xfrm flipH="false" flipV="false" rot="0">
                      <a:ext cx="6481572" cy="405661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F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Рис. 15-23. Ягнята стойлового содержания, отъем которых не проведен: дефекты качества жира наблюдаются у ягнят, забитых после 110 дней.</w:t>
      </w:r>
    </w:p>
    <w:p w14:paraId="90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drawing>
          <wp:inline>
            <wp:extent cx="6481572" cy="3565017"/>
            <wp:docPr id="36" name="Picture 36"/>
            <a:graphic>
              <a:graphicData uri="http://schemas.openxmlformats.org/drawingml/2006/picture">
                <pic:pic>
                  <pic:nvPicPr>
                    <pic:cNvPr id="35" name="Picture 35"/>
                    <pic:cNvPicPr preferRelativeResize="true"/>
                  </pic:nvPicPr>
                  <pic:blipFill>
                    <a:blip r:embed="rId19"/>
                    <a:stretch/>
                  </pic:blipFill>
                  <pic:spPr>
                    <a:xfrm flipH="false" flipV="false" rot="0">
                      <a:ext cx="6481572" cy="356501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1000000">
      <w:pPr>
        <w:spacing w:after="0" w:before="0"/>
        <w:ind w:firstLine="0" w:left="0" w:right="0"/>
        <w:jc w:val="both"/>
        <w:rPr>
          <w:rFonts w:ascii="Times New Roman" w:hAnsi="Times New Roman"/>
          <w:b w:val="1"/>
          <w:i w:val="1"/>
          <w:color w:val="000000"/>
          <w:spacing w:val="0"/>
          <w:sz w:val="24"/>
        </w:rPr>
      </w:pPr>
    </w:p>
    <w:p w14:paraId="92000000">
      <w:pPr>
        <w:spacing w:after="0" w:before="0"/>
        <w:ind w:firstLine="0" w:left="0" w:right="0"/>
        <w:jc w:val="both"/>
        <w:rPr>
          <w:rFonts w:ascii="Times New Roman" w:hAnsi="Times New Roman"/>
          <w:b w:val="1"/>
          <w:i w:val="1"/>
          <w:color w:val="000000"/>
          <w:spacing w:val="0"/>
          <w:sz w:val="24"/>
        </w:rPr>
      </w:pPr>
      <w:r>
        <w:rPr>
          <w:rFonts w:ascii="Times New Roman" w:hAnsi="Times New Roman"/>
          <w:b w:val="1"/>
          <w:i w:val="1"/>
          <w:color w:val="000000"/>
          <w:spacing w:val="0"/>
          <w:sz w:val="24"/>
        </w:rPr>
        <w:t xml:space="preserve">Основные моменты приведенных выше рисунков </w:t>
      </w:r>
    </w:p>
    <w:p w14:paraId="93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Подробное изучение приведенных схем необязательно, достаточно рассмотреть интересующую ситуацию. С другой стороны, следует рассмотреть все ее аспекты.</w:t>
      </w:r>
    </w:p>
    <w:p w14:paraId="94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Для упрощения жирным шрифтом выделены приемы, при которых, как правило, проблемы с качеством жира отмечаются редко.</w:t>
      </w:r>
    </w:p>
    <w:p w14:paraId="95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Данные заимствованы из материала “Les d</w:t>
      </w:r>
      <w:r>
        <w:rPr>
          <w:rFonts w:ascii="Times New Roman" w:hAnsi="Times New Roman"/>
          <w:color w:val="000000"/>
          <w:spacing w:val="0"/>
          <w:sz w:val="24"/>
        </w:rPr>
        <w:t>éfauts de qualité du gros des agneaux” (“</w:t>
      </w:r>
      <w:r>
        <w:rPr>
          <w:rFonts w:ascii="Times New Roman" w:hAnsi="Times New Roman"/>
          <w:color w:val="000000"/>
          <w:spacing w:val="0"/>
          <w:sz w:val="24"/>
        </w:rPr>
        <w:t>Пороки туш крупных ягнят”) выпущенного INTERBEV совместно с Институтом животноводства (I. Legrand, L. Sagot, E. Van Quackebeke) в сотрудничестве с France Agnelle Association (J. Voisin), GIE Ovin du Centre-Ouest (J.-L. Voilier) и Poitou-Ovins (S. Lafarge, A. Staub).</w:t>
      </w:r>
    </w:p>
    <w:p w14:paraId="96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  <w:r>
        <w:rPr>
          <w:rFonts w:ascii="Times New Roman" w:hAnsi="Times New Roman"/>
          <w:color w:val="000000"/>
          <w:spacing w:val="0"/>
          <w:sz w:val="24"/>
        </w:rPr>
        <w:t>Если вы хотите узнать больше о проблемах, связанных с качеством жира ягнят, обратитесь к брошюре Института животноводства и INTERBEV “Le point sur la qualit</w:t>
      </w:r>
      <w:r>
        <w:rPr>
          <w:rFonts w:ascii="Times New Roman" w:hAnsi="Times New Roman"/>
          <w:color w:val="000000"/>
          <w:spacing w:val="0"/>
          <w:sz w:val="24"/>
        </w:rPr>
        <w:t>é du gras des agneaux” (“</w:t>
      </w:r>
      <w:r>
        <w:rPr>
          <w:rFonts w:ascii="Times New Roman" w:hAnsi="Times New Roman"/>
          <w:color w:val="000000"/>
          <w:spacing w:val="0"/>
          <w:sz w:val="24"/>
        </w:rPr>
        <w:t>Обновленная информация о качестве жира ягнят”). Ее можно получить в Centre d'information des viandes (Информационный центр по производству мяса, CIV) по адресу 64, rue Taitbout, 75005 Париж (тел.: 01 42 80 04 72).</w:t>
      </w:r>
    </w:p>
    <w:p w14:paraId="97000000">
      <w:pPr>
        <w:spacing w:after="0" w:before="0"/>
        <w:ind w:firstLine="0" w:left="0" w:right="0"/>
        <w:jc w:val="both"/>
        <w:rPr>
          <w:rFonts w:ascii="Times New Roman" w:hAnsi="Times New Roman"/>
          <w:color w:val="000000"/>
          <w:spacing w:val="0"/>
          <w:sz w:val="24"/>
        </w:rPr>
      </w:pPr>
    </w:p>
    <w:p w14:paraId="98000000">
      <w:pPr>
        <w:spacing w:after="0" w:before="0"/>
        <w:ind w:firstLine="0" w:left="0" w:right="0"/>
        <w:jc w:val="center"/>
        <w:rPr>
          <w:rFonts w:ascii="Times New Roman" w:hAnsi="Times New Roman"/>
          <w:color w:val="000000"/>
          <w:spacing w:val="0"/>
          <w:sz w:val="24"/>
        </w:rPr>
      </w:pPr>
      <w:r>
        <w:drawing>
          <wp:inline>
            <wp:extent cx="4541520" cy="6156961"/>
            <wp:docPr id="38" name="Picture 38"/>
            <a:graphic>
              <a:graphicData uri="http://schemas.openxmlformats.org/drawingml/2006/picture">
                <pic:pic>
                  <pic:nvPicPr>
                    <pic:cNvPr id="37" name="Picture 37"/>
                    <pic:cNvPicPr preferRelativeResize="true"/>
                  </pic:nvPicPr>
                  <pic:blipFill>
                    <a:blip r:embed="rId20"/>
                    <a:stretch/>
                  </pic:blipFill>
                  <pic:spPr>
                    <a:xfrm flipH="false" flipV="false" rot="0">
                      <a:ext cx="4541520" cy="615696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footerReference r:id="rId1" w:type="default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right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/>
</w:ftr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3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4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next w:val="Style_1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next w:val="Style_1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heading 3"/>
    <w:next w:val="Style_1"/>
    <w:link w:val="Style_6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6_ch" w:type="character">
    <w:name w:val="heading 3"/>
    <w:link w:val="Style_6"/>
    <w:rPr>
      <w:rFonts w:ascii="XO Thames" w:hAnsi="XO Thames"/>
      <w:b w:val="1"/>
      <w:i w:val="1"/>
      <w:color w:val="000000"/>
    </w:rPr>
  </w:style>
  <w:style w:styleId="Style_7" w:type="paragraph">
    <w:name w:val="toc 3"/>
    <w:next w:val="Style_1"/>
    <w:link w:val="Style_7_ch"/>
    <w:uiPriority w:val="39"/>
    <w:pPr>
      <w:ind w:firstLine="0" w:left="400"/>
    </w:pPr>
  </w:style>
  <w:style w:styleId="Style_7_ch" w:type="character">
    <w:name w:val="toc 3"/>
    <w:link w:val="Style_7"/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8_ch" w:type="character">
    <w:name w:val="heading 5"/>
    <w:link w:val="Style_8"/>
    <w:rPr>
      <w:rFonts w:ascii="XO Thames" w:hAnsi="XO Thames"/>
      <w:b w:val="1"/>
      <w:color w:val="000000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/>
      <w:jc w:val="left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</w:pPr>
    <w:rPr>
      <w:rFonts w:ascii="XO Thames" w:hAnsi="XO Thames"/>
      <w:b w:val="1"/>
    </w:rPr>
  </w:style>
  <w:style w:styleId="Style_12_ch" w:type="character">
    <w:name w:val="toc 1"/>
    <w:link w:val="Style_12"/>
    <w:rPr>
      <w:rFonts w:ascii="XO Thames" w:hAnsi="XO Thames"/>
      <w:b w:val="1"/>
    </w:rPr>
  </w:style>
  <w:style w:styleId="Style_13" w:type="paragraph">
    <w:name w:val="Header and Footer"/>
    <w:link w:val="Style_13_ch"/>
    <w:pPr>
      <w:spacing w:line="360" w:lineRule="auto"/>
      <w:ind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</w:pPr>
  </w:style>
  <w:style w:styleId="Style_14_ch" w:type="character">
    <w:name w:val="toc 9"/>
    <w:link w:val="Style_14"/>
  </w:style>
  <w:style w:styleId="Style_15" w:type="paragraph">
    <w:name w:val="toc 8"/>
    <w:next w:val="Style_1"/>
    <w:link w:val="Style_15_ch"/>
    <w:uiPriority w:val="39"/>
    <w:pPr>
      <w:ind w:firstLine="0" w:left="1400"/>
    </w:pPr>
  </w:style>
  <w:style w:styleId="Style_15_ch" w:type="character">
    <w:name w:val="toc 8"/>
    <w:link w:val="Style_15"/>
  </w:style>
  <w:style w:styleId="Style_16" w:type="paragraph">
    <w:name w:val="toc 5"/>
    <w:next w:val="Style_1"/>
    <w:link w:val="Style_16_ch"/>
    <w:uiPriority w:val="39"/>
    <w:pPr>
      <w:ind w:firstLine="0" w:left="800"/>
    </w:pPr>
  </w:style>
  <w:style w:styleId="Style_16_ch" w:type="character">
    <w:name w:val="toc 5"/>
    <w:link w:val="Style_16"/>
  </w:style>
  <w:style w:styleId="Style_17" w:type="paragraph">
    <w:name w:val="Subtitle"/>
    <w:next w:val="Style_1"/>
    <w:link w:val="Style_17_ch"/>
    <w:uiPriority w:val="11"/>
    <w:qFormat/>
    <w:rPr>
      <w:rFonts w:ascii="XO Thames" w:hAnsi="XO Thames"/>
      <w:i w:val="1"/>
      <w:color w:val="616161"/>
      <w:sz w:val="24"/>
    </w:rPr>
  </w:style>
  <w:style w:styleId="Style_17_ch" w:type="character">
    <w:name w:val="Subtitle"/>
    <w:link w:val="Style_17"/>
    <w:rPr>
      <w:rFonts w:ascii="XO Thames" w:hAnsi="XO Thames"/>
      <w:i w:val="1"/>
      <w:color w:val="616161"/>
      <w:sz w:val="24"/>
    </w:rPr>
  </w:style>
  <w:style w:styleId="Style_18" w:type="paragraph">
    <w:name w:val="toc 10"/>
    <w:next w:val="Style_1"/>
    <w:link w:val="Style_18_ch"/>
    <w:uiPriority w:val="39"/>
    <w:pPr>
      <w:ind w:firstLine="0" w:left="1800"/>
    </w:pPr>
  </w:style>
  <w:style w:styleId="Style_18_ch" w:type="character">
    <w:name w:val="toc 10"/>
    <w:link w:val="Style_18"/>
  </w:style>
  <w:style w:styleId="Style_19" w:type="paragraph">
    <w:name w:val="Title"/>
    <w:next w:val="Style_1"/>
    <w:link w:val="Style_19_ch"/>
    <w:uiPriority w:val="10"/>
    <w:qFormat/>
    <w:rPr>
      <w:rFonts w:ascii="XO Thames" w:hAnsi="XO Thames"/>
      <w:b w:val="1"/>
      <w:sz w:val="52"/>
    </w:rPr>
  </w:style>
  <w:style w:styleId="Style_19_ch" w:type="character">
    <w:name w:val="Title"/>
    <w:link w:val="Style_19"/>
    <w:rPr>
      <w:rFonts w:ascii="XO Thames" w:hAnsi="XO Thames"/>
      <w:b w:val="1"/>
      <w:sz w:val="52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0_ch" w:type="character">
    <w:name w:val="heading 4"/>
    <w:link w:val="Style_20"/>
    <w:rPr>
      <w:rFonts w:ascii="XO Thames" w:hAnsi="XO Thames"/>
      <w:b w:val="1"/>
      <w:color w:val="595959"/>
      <w:sz w:val="26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1_ch" w:type="character">
    <w:name w:val="heading 2"/>
    <w:link w:val="Style_21"/>
    <w:rPr>
      <w:rFonts w:ascii="XO Thames" w:hAnsi="XO Thames"/>
      <w:b w:val="1"/>
      <w:color w:val="00A0FF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4" Target="stylesWithEffects.xml" Type="http://schemas.microsoft.com/office/2007/relationships/stylesWithEffects"/>
  <Relationship Id="rId23" Target="styles.xml" Type="http://schemas.openxmlformats.org/officeDocument/2006/relationships/styles"/>
  <Relationship Id="rId27" Target="numbering.xml" Type="http://schemas.openxmlformats.org/officeDocument/2006/relationships/numbering"/>
  <Relationship Id="rId21" Target="fontTable.xml" Type="http://schemas.openxmlformats.org/officeDocument/2006/relationships/fontTable"/>
  <Relationship Id="rId19" Target="media/18.jpeg" Type="http://schemas.openxmlformats.org/officeDocument/2006/relationships/image"/>
  <Relationship Id="rId18" Target="media/17.jpeg" Type="http://schemas.openxmlformats.org/officeDocument/2006/relationships/image"/>
  <Relationship Id="rId17" Target="media/16.jpeg" Type="http://schemas.openxmlformats.org/officeDocument/2006/relationships/image"/>
  <Relationship Id="rId15" Target="media/14.jpeg" Type="http://schemas.openxmlformats.org/officeDocument/2006/relationships/image"/>
  <Relationship Id="rId11" Target="media/10.jpeg" Type="http://schemas.openxmlformats.org/officeDocument/2006/relationships/image"/>
  <Relationship Id="rId16" Target="media/15.jpeg" Type="http://schemas.openxmlformats.org/officeDocument/2006/relationships/image"/>
  <Relationship Id="rId22" Target="settings.xml" Type="http://schemas.openxmlformats.org/officeDocument/2006/relationships/settings"/>
  <Relationship Id="rId10" Target="media/9.jpeg" Type="http://schemas.openxmlformats.org/officeDocument/2006/relationships/image"/>
  <Relationship Id="rId7" Target="media/6.jpeg" Type="http://schemas.openxmlformats.org/officeDocument/2006/relationships/image"/>
  <Relationship Id="rId14" Target="media/13.jpeg" Type="http://schemas.openxmlformats.org/officeDocument/2006/relationships/image"/>
  <Relationship Id="rId6" Target="media/5.jpeg" Type="http://schemas.openxmlformats.org/officeDocument/2006/relationships/image"/>
  <Relationship Id="rId13" Target="media/12.jpeg" Type="http://schemas.openxmlformats.org/officeDocument/2006/relationships/image"/>
  <Relationship Id="rId5" Target="media/4.jpeg" Type="http://schemas.openxmlformats.org/officeDocument/2006/relationships/image"/>
  <Relationship Id="rId9" Target="media/8.jpeg" Type="http://schemas.openxmlformats.org/officeDocument/2006/relationships/image"/>
  <Relationship Id="rId26" Target="theme/theme1.xml" Type="http://schemas.openxmlformats.org/officeDocument/2006/relationships/theme"/>
  <Relationship Id="rId4" Target="media/3.jpeg" Type="http://schemas.openxmlformats.org/officeDocument/2006/relationships/image"/>
  <Relationship Id="rId8" Target="media/7.jpeg" Type="http://schemas.openxmlformats.org/officeDocument/2006/relationships/image"/>
  <Relationship Id="rId3" Target="media/2.jpeg" Type="http://schemas.openxmlformats.org/officeDocument/2006/relationships/image"/>
  <Relationship Id="rId12" Target="media/11.jpeg" Type="http://schemas.openxmlformats.org/officeDocument/2006/relationships/image"/>
  <Relationship Id="rId25" Target="webSettings.xml" Type="http://schemas.openxmlformats.org/officeDocument/2006/relationships/webSettings"/>
  <Relationship Id="rId2" Target="media/1.jpeg" Type="http://schemas.openxmlformats.org/officeDocument/2006/relationships/image"/>
  <Relationship Id="rId20" Target="media/19.jpe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MyOffice-CoreFramework-Windows/22-903.417.5503.534.7@RELEASE-DESKTOP-SORREL_HOME-RC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2022-06-05T11:26:20Z</dcterms:modified>
</cp:coreProperties>
</file>